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4CEE9" w14:textId="1B207799" w:rsidR="009C51EA" w:rsidRPr="009C51EA" w:rsidRDefault="0044452C" w:rsidP="004618BD">
      <w:pPr>
        <w:pStyle w:val="Heading2"/>
      </w:pPr>
      <w:r>
        <w:t>Voluntary Severance</w:t>
      </w:r>
      <w:r w:rsidR="009C51EA" w:rsidRPr="009C51EA">
        <w:t xml:space="preserve"> </w:t>
      </w:r>
      <w:r w:rsidR="004618BD">
        <w:t xml:space="preserve">- </w:t>
      </w:r>
      <w:r w:rsidR="009C51EA" w:rsidRPr="009C51EA">
        <w:t>Equality Impact Assessment</w:t>
      </w:r>
    </w:p>
    <w:p w14:paraId="2004B902" w14:textId="568C7E63" w:rsidR="009C51EA" w:rsidRPr="009C51EA" w:rsidRDefault="009C51EA" w:rsidP="00CA0DB3">
      <w:pPr>
        <w:pStyle w:val="Heading3"/>
        <w:numPr>
          <w:ilvl w:val="0"/>
          <w:numId w:val="9"/>
        </w:numPr>
      </w:pPr>
      <w:r w:rsidRPr="009C51EA">
        <w:t>Stage One</w:t>
      </w:r>
      <w:r w:rsidR="00B51875">
        <w:t xml:space="preserve"> - Context</w:t>
      </w:r>
    </w:p>
    <w:p w14:paraId="174537EF" w14:textId="77777777" w:rsidR="00FD1B4E" w:rsidRDefault="009C51EA">
      <w:pPr>
        <w:rPr>
          <w:sz w:val="24"/>
          <w:szCs w:val="24"/>
        </w:rPr>
      </w:pPr>
      <w:r w:rsidRPr="009C51EA">
        <w:rPr>
          <w:sz w:val="24"/>
          <w:szCs w:val="24"/>
        </w:rPr>
        <w:t>The University of Dundee’s Recovery Plan</w:t>
      </w:r>
      <w:r>
        <w:rPr>
          <w:sz w:val="24"/>
          <w:szCs w:val="24"/>
        </w:rPr>
        <w:t xml:space="preserve"> </w:t>
      </w:r>
      <w:r w:rsidR="00620BAC">
        <w:rPr>
          <w:sz w:val="24"/>
          <w:szCs w:val="24"/>
        </w:rPr>
        <w:t xml:space="preserve">(the plan) </w:t>
      </w:r>
      <w:r>
        <w:rPr>
          <w:sz w:val="24"/>
          <w:szCs w:val="24"/>
        </w:rPr>
        <w:t xml:space="preserve">outlines a </w:t>
      </w:r>
      <w:r w:rsidR="004618BD">
        <w:rPr>
          <w:sz w:val="24"/>
          <w:szCs w:val="24"/>
        </w:rPr>
        <w:t>long-term</w:t>
      </w:r>
      <w:r>
        <w:rPr>
          <w:sz w:val="24"/>
          <w:szCs w:val="24"/>
        </w:rPr>
        <w:t xml:space="preserve"> vision for the sustainable future of the University. This plan has </w:t>
      </w:r>
      <w:r w:rsidR="00344E7D">
        <w:rPr>
          <w:sz w:val="24"/>
          <w:szCs w:val="24"/>
        </w:rPr>
        <w:t>several</w:t>
      </w:r>
      <w:r>
        <w:rPr>
          <w:sz w:val="24"/>
          <w:szCs w:val="24"/>
        </w:rPr>
        <w:t xml:space="preserve"> workstreams which will impact the</w:t>
      </w:r>
      <w:r w:rsidR="00AE5093">
        <w:rPr>
          <w:sz w:val="24"/>
          <w:szCs w:val="24"/>
        </w:rPr>
        <w:t xml:space="preserve"> whole</w:t>
      </w:r>
      <w:r>
        <w:rPr>
          <w:sz w:val="24"/>
          <w:szCs w:val="24"/>
        </w:rPr>
        <w:t xml:space="preserve"> organisation. It is a legal requirement that the University has considered the equality implications of this plan. </w:t>
      </w:r>
    </w:p>
    <w:p w14:paraId="4E880C76" w14:textId="307603AD" w:rsidR="00572106" w:rsidRDefault="00D8252E">
      <w:pPr>
        <w:rPr>
          <w:sz w:val="24"/>
          <w:szCs w:val="24"/>
        </w:rPr>
      </w:pPr>
      <w:r>
        <w:rPr>
          <w:sz w:val="24"/>
          <w:szCs w:val="24"/>
        </w:rPr>
        <w:t xml:space="preserve">The Plan was launched in March 2025, </w:t>
      </w:r>
      <w:r w:rsidR="00E824DC">
        <w:rPr>
          <w:sz w:val="24"/>
          <w:szCs w:val="24"/>
        </w:rPr>
        <w:t xml:space="preserve">and after internal and external consultation, the original number of </w:t>
      </w:r>
      <w:r w:rsidR="00B01DCD">
        <w:rPr>
          <w:sz w:val="24"/>
          <w:szCs w:val="24"/>
        </w:rPr>
        <w:t>redundancies</w:t>
      </w:r>
      <w:r w:rsidR="00E824DC">
        <w:rPr>
          <w:sz w:val="24"/>
          <w:szCs w:val="24"/>
        </w:rPr>
        <w:t xml:space="preserve"> has been with</w:t>
      </w:r>
      <w:r w:rsidR="00B01DCD">
        <w:rPr>
          <w:sz w:val="24"/>
          <w:szCs w:val="24"/>
        </w:rPr>
        <w:t xml:space="preserve">drawn. The focus now is on taking a voluntary </w:t>
      </w:r>
      <w:r w:rsidR="0015683C">
        <w:rPr>
          <w:sz w:val="24"/>
          <w:szCs w:val="24"/>
        </w:rPr>
        <w:t>severance (VS)</w:t>
      </w:r>
      <w:r w:rsidR="00B01DCD">
        <w:rPr>
          <w:sz w:val="24"/>
          <w:szCs w:val="24"/>
        </w:rPr>
        <w:t xml:space="preserve"> approach, with an aim of achieving circa 300 FTE reductions.</w:t>
      </w:r>
    </w:p>
    <w:p w14:paraId="7FDC55E3" w14:textId="596848F5" w:rsidR="00620BAC" w:rsidRDefault="00572106">
      <w:pPr>
        <w:rPr>
          <w:sz w:val="24"/>
          <w:szCs w:val="24"/>
        </w:rPr>
      </w:pPr>
      <w:r>
        <w:rPr>
          <w:sz w:val="24"/>
          <w:szCs w:val="24"/>
        </w:rPr>
        <w:t>Equality Impact Assessment</w:t>
      </w:r>
      <w:r w:rsidR="00CA05A9">
        <w:rPr>
          <w:sz w:val="24"/>
          <w:szCs w:val="24"/>
        </w:rPr>
        <w:t xml:space="preserve"> (EIA)</w:t>
      </w:r>
      <w:r>
        <w:rPr>
          <w:sz w:val="24"/>
          <w:szCs w:val="24"/>
        </w:rPr>
        <w:t xml:space="preserve"> are iterative processes, where the </w:t>
      </w:r>
      <w:r w:rsidR="00A75B0F">
        <w:rPr>
          <w:sz w:val="24"/>
          <w:szCs w:val="24"/>
        </w:rPr>
        <w:t xml:space="preserve">process/policy owner considers the differential impacts on </w:t>
      </w:r>
      <w:r w:rsidR="001D40B5">
        <w:rPr>
          <w:sz w:val="24"/>
          <w:szCs w:val="24"/>
        </w:rPr>
        <w:t xml:space="preserve">minoritised groups. </w:t>
      </w:r>
      <w:r w:rsidR="003C39FA">
        <w:rPr>
          <w:sz w:val="24"/>
          <w:szCs w:val="24"/>
        </w:rPr>
        <w:t>This is</w:t>
      </w:r>
      <w:r w:rsidR="001D40B5">
        <w:rPr>
          <w:sz w:val="24"/>
          <w:szCs w:val="24"/>
        </w:rPr>
        <w:t xml:space="preserve"> a </w:t>
      </w:r>
      <w:r w:rsidR="004B37AE">
        <w:rPr>
          <w:sz w:val="24"/>
          <w:szCs w:val="24"/>
        </w:rPr>
        <w:t xml:space="preserve">business tool to ensure any positive/negative impacts on a </w:t>
      </w:r>
      <w:r w:rsidR="004E17FD">
        <w:rPr>
          <w:sz w:val="24"/>
          <w:szCs w:val="24"/>
        </w:rPr>
        <w:t xml:space="preserve">group is known within the process. </w:t>
      </w:r>
      <w:r w:rsidR="00DB3F0B">
        <w:rPr>
          <w:sz w:val="24"/>
          <w:szCs w:val="24"/>
        </w:rPr>
        <w:t xml:space="preserve">The University has an </w:t>
      </w:r>
      <w:hyperlink r:id="rId11" w:history="1">
        <w:r w:rsidR="00DB3F0B" w:rsidRPr="00CA05A9">
          <w:rPr>
            <w:rStyle w:val="Hyperlink"/>
            <w:sz w:val="24"/>
            <w:szCs w:val="24"/>
          </w:rPr>
          <w:t>EIA process</w:t>
        </w:r>
      </w:hyperlink>
      <w:r w:rsidR="00DB3F0B">
        <w:rPr>
          <w:sz w:val="24"/>
          <w:szCs w:val="24"/>
        </w:rPr>
        <w:t xml:space="preserve">, however on a </w:t>
      </w:r>
      <w:r w:rsidR="004725AF">
        <w:rPr>
          <w:sz w:val="24"/>
          <w:szCs w:val="24"/>
        </w:rPr>
        <w:t>significant</w:t>
      </w:r>
      <w:r w:rsidR="00DB3F0B">
        <w:rPr>
          <w:sz w:val="24"/>
          <w:szCs w:val="24"/>
        </w:rPr>
        <w:t xml:space="preserve"> </w:t>
      </w:r>
      <w:r w:rsidR="00C90734">
        <w:rPr>
          <w:sz w:val="24"/>
          <w:szCs w:val="24"/>
        </w:rPr>
        <w:t>change</w:t>
      </w:r>
      <w:r w:rsidR="00DB3F0B">
        <w:rPr>
          <w:sz w:val="24"/>
          <w:szCs w:val="24"/>
        </w:rPr>
        <w:t>, such as this plan</w:t>
      </w:r>
      <w:r w:rsidR="00C90734">
        <w:rPr>
          <w:sz w:val="24"/>
          <w:szCs w:val="24"/>
        </w:rPr>
        <w:t>,</w:t>
      </w:r>
      <w:r w:rsidR="00A368DE">
        <w:rPr>
          <w:sz w:val="24"/>
          <w:szCs w:val="24"/>
        </w:rPr>
        <w:t xml:space="preserve"> this will be </w:t>
      </w:r>
      <w:r w:rsidR="002A158A">
        <w:rPr>
          <w:sz w:val="24"/>
          <w:szCs w:val="24"/>
        </w:rPr>
        <w:t xml:space="preserve">presented with the </w:t>
      </w:r>
      <w:r w:rsidR="003656A0">
        <w:rPr>
          <w:sz w:val="24"/>
          <w:szCs w:val="24"/>
        </w:rPr>
        <w:t>applicable</w:t>
      </w:r>
      <w:r w:rsidR="002A158A">
        <w:rPr>
          <w:sz w:val="24"/>
          <w:szCs w:val="24"/>
        </w:rPr>
        <w:t xml:space="preserve"> sections and with relevant details, where possible.</w:t>
      </w:r>
    </w:p>
    <w:p w14:paraId="39AF5666" w14:textId="05FE4100" w:rsidR="00EE2E3F" w:rsidRDefault="00EE2E3F">
      <w:pPr>
        <w:rPr>
          <w:sz w:val="24"/>
          <w:szCs w:val="24"/>
        </w:rPr>
      </w:pPr>
      <w:r w:rsidRPr="00711D23">
        <w:rPr>
          <w:sz w:val="24"/>
          <w:szCs w:val="24"/>
        </w:rPr>
        <w:t>The VS window was open from the 6 June – 25 July 2025, with staff sent regular reminders to ensure those who missed a communication were reminded</w:t>
      </w:r>
      <w:r>
        <w:rPr>
          <w:sz w:val="24"/>
          <w:szCs w:val="24"/>
        </w:rPr>
        <w:t>.</w:t>
      </w:r>
    </w:p>
    <w:p w14:paraId="3D37DD8E" w14:textId="31F9B69D" w:rsidR="009C51EA" w:rsidRPr="009C51EA" w:rsidRDefault="001C2C20" w:rsidP="00CA0DB3">
      <w:pPr>
        <w:pStyle w:val="Heading3"/>
        <w:numPr>
          <w:ilvl w:val="0"/>
          <w:numId w:val="9"/>
        </w:numPr>
      </w:pPr>
      <w:r>
        <w:t>Staff reductions</w:t>
      </w:r>
      <w:r w:rsidR="006D05BC">
        <w:t xml:space="preserve"> – EIA methodology</w:t>
      </w:r>
    </w:p>
    <w:p w14:paraId="1AD7DCE6" w14:textId="10F32D08" w:rsidR="0005324A" w:rsidRDefault="001C2C20" w:rsidP="00FD21CA">
      <w:pPr>
        <w:rPr>
          <w:sz w:val="24"/>
          <w:szCs w:val="24"/>
        </w:rPr>
      </w:pPr>
      <w:r>
        <w:rPr>
          <w:sz w:val="24"/>
          <w:szCs w:val="24"/>
        </w:rPr>
        <w:t>The</w:t>
      </w:r>
      <w:r w:rsidR="00FD21CA">
        <w:rPr>
          <w:sz w:val="24"/>
          <w:szCs w:val="24"/>
        </w:rPr>
        <w:t xml:space="preserve"> S188 form outlines a proposed reduction of </w:t>
      </w:r>
      <w:r w:rsidR="007A20F3">
        <w:rPr>
          <w:sz w:val="24"/>
          <w:szCs w:val="24"/>
        </w:rPr>
        <w:t xml:space="preserve">circa 300 FTE through voluntary means. </w:t>
      </w:r>
    </w:p>
    <w:p w14:paraId="6953CD25" w14:textId="3BDF5996" w:rsidR="0005324A" w:rsidRDefault="0005324A" w:rsidP="00BD5374">
      <w:pPr>
        <w:rPr>
          <w:sz w:val="24"/>
          <w:szCs w:val="24"/>
        </w:rPr>
      </w:pPr>
      <w:r>
        <w:rPr>
          <w:sz w:val="24"/>
          <w:szCs w:val="24"/>
        </w:rPr>
        <w:t>This will require a full EIA o</w:t>
      </w:r>
      <w:r w:rsidR="0055376A">
        <w:rPr>
          <w:sz w:val="24"/>
          <w:szCs w:val="24"/>
        </w:rPr>
        <w:t>f the impacted staff. As this is expressed as a</w:t>
      </w:r>
      <w:r w:rsidR="00B73DF9">
        <w:rPr>
          <w:sz w:val="24"/>
          <w:szCs w:val="24"/>
        </w:rPr>
        <w:t>n</w:t>
      </w:r>
      <w:r w:rsidR="0055376A">
        <w:rPr>
          <w:sz w:val="24"/>
          <w:szCs w:val="24"/>
        </w:rPr>
        <w:t xml:space="preserve"> FTE in the plan, the headcount </w:t>
      </w:r>
      <w:r w:rsidR="00556EDA">
        <w:rPr>
          <w:sz w:val="24"/>
          <w:szCs w:val="24"/>
        </w:rPr>
        <w:t>is unknown, but likely to be higher</w:t>
      </w:r>
      <w:r w:rsidR="008B3EB2">
        <w:rPr>
          <w:sz w:val="24"/>
          <w:szCs w:val="24"/>
        </w:rPr>
        <w:t>.</w:t>
      </w:r>
    </w:p>
    <w:p w14:paraId="035F14B8" w14:textId="4F24F860" w:rsidR="00F94067" w:rsidRDefault="00F94067" w:rsidP="00BD5374">
      <w:pPr>
        <w:rPr>
          <w:sz w:val="24"/>
          <w:szCs w:val="24"/>
        </w:rPr>
      </w:pPr>
      <w:r>
        <w:rPr>
          <w:sz w:val="24"/>
          <w:szCs w:val="24"/>
        </w:rPr>
        <w:t>As the process is voluntary, there are no longer identified pools</w:t>
      </w:r>
      <w:r w:rsidR="00FB0BD5">
        <w:rPr>
          <w:sz w:val="24"/>
          <w:szCs w:val="24"/>
        </w:rPr>
        <w:t xml:space="preserve">. </w:t>
      </w:r>
      <w:r w:rsidR="00022245">
        <w:rPr>
          <w:sz w:val="24"/>
          <w:szCs w:val="24"/>
        </w:rPr>
        <w:t>Therefore,</w:t>
      </w:r>
      <w:r w:rsidR="00FB0BD5">
        <w:rPr>
          <w:sz w:val="24"/>
          <w:szCs w:val="24"/>
        </w:rPr>
        <w:t xml:space="preserve"> the process for this EIA will be:</w:t>
      </w:r>
    </w:p>
    <w:p w14:paraId="47F66ED0" w14:textId="2F991ADB" w:rsidR="00FB0BD5" w:rsidRPr="00882224" w:rsidRDefault="00FB0BD5" w:rsidP="00882224">
      <w:pPr>
        <w:pStyle w:val="ListParagraph"/>
        <w:numPr>
          <w:ilvl w:val="0"/>
          <w:numId w:val="10"/>
        </w:numPr>
        <w:rPr>
          <w:sz w:val="24"/>
          <w:szCs w:val="24"/>
        </w:rPr>
      </w:pPr>
      <w:r w:rsidRPr="00882224">
        <w:rPr>
          <w:sz w:val="24"/>
          <w:szCs w:val="24"/>
        </w:rPr>
        <w:t xml:space="preserve">Current staff </w:t>
      </w:r>
      <w:r w:rsidR="009D4E4D" w:rsidRPr="00882224">
        <w:rPr>
          <w:sz w:val="24"/>
          <w:szCs w:val="24"/>
        </w:rPr>
        <w:t xml:space="preserve">diversity data for the whole University – this is available publicly through the </w:t>
      </w:r>
      <w:hyperlink r:id="rId12" w:history="1">
        <w:r w:rsidR="009D4E4D" w:rsidRPr="00FA6D06">
          <w:rPr>
            <w:rStyle w:val="Hyperlink"/>
            <w:sz w:val="24"/>
            <w:szCs w:val="24"/>
          </w:rPr>
          <w:t>Annual Staff Diversity Report</w:t>
        </w:r>
      </w:hyperlink>
      <w:r w:rsidR="009D4E4D" w:rsidRPr="00882224">
        <w:rPr>
          <w:sz w:val="24"/>
          <w:szCs w:val="24"/>
        </w:rPr>
        <w:t>.</w:t>
      </w:r>
    </w:p>
    <w:p w14:paraId="06A2D233" w14:textId="544CFA56" w:rsidR="009D4E4D" w:rsidRPr="00882224" w:rsidRDefault="004D2578" w:rsidP="00882224">
      <w:pPr>
        <w:pStyle w:val="ListParagraph"/>
        <w:numPr>
          <w:ilvl w:val="0"/>
          <w:numId w:val="10"/>
        </w:numPr>
        <w:rPr>
          <w:sz w:val="24"/>
          <w:szCs w:val="24"/>
        </w:rPr>
      </w:pPr>
      <w:r>
        <w:rPr>
          <w:sz w:val="24"/>
          <w:szCs w:val="24"/>
        </w:rPr>
        <w:t xml:space="preserve">Stage Two - </w:t>
      </w:r>
      <w:r w:rsidR="009D4E4D" w:rsidRPr="00882224">
        <w:rPr>
          <w:sz w:val="24"/>
          <w:szCs w:val="24"/>
        </w:rPr>
        <w:t xml:space="preserve">Once the </w:t>
      </w:r>
      <w:r w:rsidR="0015683C" w:rsidRPr="00882224">
        <w:rPr>
          <w:sz w:val="24"/>
          <w:szCs w:val="24"/>
        </w:rPr>
        <w:t xml:space="preserve">VS process is </w:t>
      </w:r>
      <w:r w:rsidR="00DC1A68" w:rsidRPr="00882224">
        <w:rPr>
          <w:sz w:val="24"/>
          <w:szCs w:val="24"/>
        </w:rPr>
        <w:t>closed;</w:t>
      </w:r>
      <w:r w:rsidR="0015683C" w:rsidRPr="00882224">
        <w:rPr>
          <w:sz w:val="24"/>
          <w:szCs w:val="24"/>
        </w:rPr>
        <w:t xml:space="preserve"> a second data slice will be considered</w:t>
      </w:r>
      <w:r w:rsidR="001443EC" w:rsidRPr="00882224">
        <w:rPr>
          <w:sz w:val="24"/>
          <w:szCs w:val="24"/>
        </w:rPr>
        <w:t xml:space="preserve"> comparing the University with the percentage of </w:t>
      </w:r>
      <w:r w:rsidR="00DC1A68">
        <w:rPr>
          <w:sz w:val="24"/>
          <w:szCs w:val="24"/>
        </w:rPr>
        <w:t xml:space="preserve">VS </w:t>
      </w:r>
      <w:r w:rsidR="001443EC" w:rsidRPr="00882224">
        <w:rPr>
          <w:sz w:val="24"/>
          <w:szCs w:val="24"/>
        </w:rPr>
        <w:t>applicants by protected groups (where the cohorts are high enough).</w:t>
      </w:r>
    </w:p>
    <w:p w14:paraId="346962B3" w14:textId="01DA75EC" w:rsidR="001443EC" w:rsidRPr="00882224" w:rsidRDefault="004D2578" w:rsidP="00882224">
      <w:pPr>
        <w:pStyle w:val="ListParagraph"/>
        <w:numPr>
          <w:ilvl w:val="0"/>
          <w:numId w:val="10"/>
        </w:numPr>
        <w:rPr>
          <w:sz w:val="24"/>
          <w:szCs w:val="24"/>
        </w:rPr>
      </w:pPr>
      <w:r>
        <w:rPr>
          <w:sz w:val="24"/>
          <w:szCs w:val="24"/>
        </w:rPr>
        <w:t xml:space="preserve">Stage Three - </w:t>
      </w:r>
      <w:r w:rsidR="00DC1A68">
        <w:rPr>
          <w:sz w:val="24"/>
          <w:szCs w:val="24"/>
        </w:rPr>
        <w:t>Once</w:t>
      </w:r>
      <w:r w:rsidR="00882224" w:rsidRPr="00882224">
        <w:rPr>
          <w:sz w:val="24"/>
          <w:szCs w:val="24"/>
        </w:rPr>
        <w:t xml:space="preserve"> the VS applications have been approved, </w:t>
      </w:r>
      <w:r w:rsidR="00DC1A68">
        <w:rPr>
          <w:sz w:val="24"/>
          <w:szCs w:val="24"/>
        </w:rPr>
        <w:t xml:space="preserve">another slice of data will be </w:t>
      </w:r>
      <w:r w:rsidR="00A1187A">
        <w:rPr>
          <w:sz w:val="24"/>
          <w:szCs w:val="24"/>
        </w:rPr>
        <w:t>taken,</w:t>
      </w:r>
      <w:r w:rsidR="00DC1A68">
        <w:rPr>
          <w:sz w:val="24"/>
          <w:szCs w:val="24"/>
        </w:rPr>
        <w:t xml:space="preserve"> </w:t>
      </w:r>
      <w:r w:rsidR="00A74E2F">
        <w:rPr>
          <w:sz w:val="24"/>
          <w:szCs w:val="24"/>
        </w:rPr>
        <w:t xml:space="preserve">and </w:t>
      </w:r>
      <w:r w:rsidR="00882224" w:rsidRPr="00882224">
        <w:rPr>
          <w:sz w:val="24"/>
          <w:szCs w:val="24"/>
        </w:rPr>
        <w:t>the three stages will be compared for the impact on the University’s diversity data.</w:t>
      </w:r>
    </w:p>
    <w:p w14:paraId="229043B3" w14:textId="7ACDD093" w:rsidR="009C51EA" w:rsidRDefault="007B416F">
      <w:pPr>
        <w:rPr>
          <w:sz w:val="24"/>
          <w:szCs w:val="24"/>
        </w:rPr>
      </w:pPr>
      <w:r>
        <w:rPr>
          <w:sz w:val="24"/>
          <w:szCs w:val="24"/>
        </w:rPr>
        <w:t xml:space="preserve">Other relevant data sets will also be considered, such as spread across job categories, Schools/Directorates, </w:t>
      </w:r>
      <w:r w:rsidR="00E63D74">
        <w:rPr>
          <w:sz w:val="24"/>
          <w:szCs w:val="24"/>
        </w:rPr>
        <w:t>disciplines and teams, however these are not necessarily part of the EIA process.</w:t>
      </w:r>
    </w:p>
    <w:p w14:paraId="50FC73AE" w14:textId="2440E5C4" w:rsidR="005938E1" w:rsidRDefault="002946DC" w:rsidP="002946DC">
      <w:pPr>
        <w:ind w:firstLine="360"/>
        <w:rPr>
          <w:rFonts w:eastAsiaTheme="majorEastAsia" w:cstheme="majorBidi"/>
          <w:color w:val="0F4761" w:themeColor="accent1" w:themeShade="BF"/>
          <w:sz w:val="28"/>
          <w:szCs w:val="28"/>
        </w:rPr>
      </w:pPr>
      <w:r>
        <w:rPr>
          <w:rFonts w:eastAsiaTheme="majorEastAsia" w:cstheme="majorBidi"/>
          <w:color w:val="0F4761" w:themeColor="accent1" w:themeShade="BF"/>
          <w:sz w:val="28"/>
          <w:szCs w:val="28"/>
        </w:rPr>
        <w:t xml:space="preserve">3. </w:t>
      </w:r>
      <w:r w:rsidR="006563F8">
        <w:rPr>
          <w:rFonts w:eastAsiaTheme="majorEastAsia" w:cstheme="majorBidi"/>
          <w:color w:val="0F4761" w:themeColor="accent1" w:themeShade="BF"/>
          <w:sz w:val="28"/>
          <w:szCs w:val="28"/>
        </w:rPr>
        <w:t>Summary of VS outcomes</w:t>
      </w:r>
    </w:p>
    <w:p w14:paraId="77D78590" w14:textId="6E956EE6" w:rsidR="006563F8" w:rsidRDefault="00E41C9B" w:rsidP="00E41C9B">
      <w:pPr>
        <w:rPr>
          <w:sz w:val="24"/>
          <w:szCs w:val="24"/>
        </w:rPr>
      </w:pPr>
      <w:r w:rsidRPr="00E41C9B">
        <w:rPr>
          <w:sz w:val="24"/>
          <w:szCs w:val="24"/>
        </w:rPr>
        <w:t>To</w:t>
      </w:r>
      <w:r>
        <w:rPr>
          <w:sz w:val="24"/>
          <w:szCs w:val="24"/>
        </w:rPr>
        <w:t xml:space="preserve"> contextualise the information in this EIA, here is a summary of the </w:t>
      </w:r>
      <w:r w:rsidR="00F95C1F">
        <w:rPr>
          <w:sz w:val="24"/>
          <w:szCs w:val="24"/>
        </w:rPr>
        <w:t>overall numbers:</w:t>
      </w:r>
    </w:p>
    <w:p w14:paraId="614CBC97" w14:textId="1DC82DC0" w:rsidR="000577C0" w:rsidRPr="00EA2162" w:rsidRDefault="00F95C1F" w:rsidP="00EA2162">
      <w:pPr>
        <w:pStyle w:val="ListParagraph"/>
        <w:numPr>
          <w:ilvl w:val="0"/>
          <w:numId w:val="11"/>
        </w:numPr>
        <w:rPr>
          <w:sz w:val="24"/>
          <w:szCs w:val="24"/>
        </w:rPr>
      </w:pPr>
      <w:r w:rsidRPr="00EA2162">
        <w:rPr>
          <w:sz w:val="24"/>
          <w:szCs w:val="24"/>
        </w:rPr>
        <w:t xml:space="preserve">On 25 July (VS closing date) </w:t>
      </w:r>
      <w:r w:rsidR="00E56FFD" w:rsidRPr="00EA2162">
        <w:rPr>
          <w:sz w:val="24"/>
          <w:szCs w:val="24"/>
        </w:rPr>
        <w:t xml:space="preserve">428 staff, who held 434 </w:t>
      </w:r>
      <w:r w:rsidR="001B2652" w:rsidRPr="00EA2162">
        <w:rPr>
          <w:sz w:val="24"/>
          <w:szCs w:val="24"/>
        </w:rPr>
        <w:t>positions</w:t>
      </w:r>
      <w:r w:rsidR="00E56FFD" w:rsidRPr="00EA2162">
        <w:rPr>
          <w:sz w:val="24"/>
          <w:szCs w:val="24"/>
        </w:rPr>
        <w:t xml:space="preserve"> had applied for VS</w:t>
      </w:r>
      <w:r w:rsidR="000577C0" w:rsidRPr="00EA2162">
        <w:rPr>
          <w:sz w:val="24"/>
          <w:szCs w:val="24"/>
        </w:rPr>
        <w:t>.</w:t>
      </w:r>
    </w:p>
    <w:p w14:paraId="3D8D4961" w14:textId="0C51DF68" w:rsidR="00F95C1F" w:rsidRDefault="000577C0" w:rsidP="00EA2162">
      <w:pPr>
        <w:pStyle w:val="ListParagraph"/>
        <w:numPr>
          <w:ilvl w:val="0"/>
          <w:numId w:val="11"/>
        </w:numPr>
        <w:rPr>
          <w:sz w:val="24"/>
          <w:szCs w:val="24"/>
        </w:rPr>
      </w:pPr>
      <w:r w:rsidRPr="00EA2162">
        <w:rPr>
          <w:sz w:val="24"/>
          <w:szCs w:val="24"/>
        </w:rPr>
        <w:t>O</w:t>
      </w:r>
      <w:r w:rsidR="006B325F" w:rsidRPr="00EA2162">
        <w:rPr>
          <w:sz w:val="24"/>
          <w:szCs w:val="24"/>
        </w:rPr>
        <w:t xml:space="preserve">n the 13 October 392 staff who held </w:t>
      </w:r>
      <w:r w:rsidRPr="00EA2162">
        <w:rPr>
          <w:sz w:val="24"/>
          <w:szCs w:val="24"/>
        </w:rPr>
        <w:t>397 positions had applied for VS, with 49 staff, who held 50 positions had withdrawn from the process.</w:t>
      </w:r>
    </w:p>
    <w:p w14:paraId="4924EFAE" w14:textId="02C40F8A" w:rsidR="0084552D" w:rsidRPr="00EA2162" w:rsidRDefault="0084552D" w:rsidP="00EA2162">
      <w:pPr>
        <w:pStyle w:val="ListParagraph"/>
        <w:numPr>
          <w:ilvl w:val="0"/>
          <w:numId w:val="11"/>
        </w:numPr>
        <w:rPr>
          <w:sz w:val="24"/>
          <w:szCs w:val="24"/>
        </w:rPr>
      </w:pPr>
      <w:r>
        <w:rPr>
          <w:sz w:val="24"/>
          <w:szCs w:val="24"/>
        </w:rPr>
        <w:t xml:space="preserve">Of the 397 positions </w:t>
      </w:r>
      <w:r w:rsidR="00ED3441">
        <w:rPr>
          <w:sz w:val="24"/>
          <w:szCs w:val="24"/>
        </w:rPr>
        <w:t>289 were approved, this is 73%, and 108 were rejected, this is 27%</w:t>
      </w:r>
      <w:r w:rsidR="000E673D">
        <w:rPr>
          <w:sz w:val="24"/>
          <w:szCs w:val="24"/>
        </w:rPr>
        <w:t>.</w:t>
      </w:r>
    </w:p>
    <w:p w14:paraId="1B6916FD" w14:textId="66F19002" w:rsidR="004F0EAF" w:rsidRPr="009C51EA" w:rsidRDefault="00EA2162">
      <w:pPr>
        <w:rPr>
          <w:sz w:val="24"/>
          <w:szCs w:val="24"/>
        </w:rPr>
      </w:pPr>
      <w:r>
        <w:rPr>
          <w:sz w:val="24"/>
          <w:szCs w:val="24"/>
        </w:rPr>
        <w:lastRenderedPageBreak/>
        <w:t>The outcome of this</w:t>
      </w:r>
      <w:r w:rsidR="001B2652">
        <w:rPr>
          <w:sz w:val="24"/>
          <w:szCs w:val="24"/>
        </w:rPr>
        <w:t xml:space="preserve"> means there will be differing numbers between the slices of the EIA process, given the withdrawal numbers.</w:t>
      </w:r>
    </w:p>
    <w:p w14:paraId="557F5EA7" w14:textId="77777777" w:rsidR="00013B5D" w:rsidRPr="00636F9A" w:rsidRDefault="00013B5D" w:rsidP="00013B5D">
      <w:pPr>
        <w:keepNext/>
        <w:keepLines/>
        <w:spacing w:before="160" w:after="80"/>
        <w:ind w:left="360"/>
        <w:outlineLvl w:val="2"/>
        <w:rPr>
          <w:rFonts w:ascii="Aptos" w:eastAsia="Yu Gothic Light" w:hAnsi="Aptos" w:cs="Times New Roman"/>
          <w:color w:val="0F4761"/>
          <w:sz w:val="28"/>
          <w:szCs w:val="28"/>
        </w:rPr>
      </w:pPr>
      <w:r w:rsidRPr="00636F9A">
        <w:rPr>
          <w:rFonts w:ascii="Aptos" w:eastAsia="Yu Gothic Light" w:hAnsi="Aptos" w:cs="Times New Roman"/>
          <w:color w:val="0F4761"/>
          <w:sz w:val="28"/>
          <w:szCs w:val="28"/>
        </w:rPr>
        <w:t>4. EIA final analysis</w:t>
      </w:r>
    </w:p>
    <w:p w14:paraId="125F16D8" w14:textId="77777777" w:rsidR="00013B5D" w:rsidRPr="00636F9A" w:rsidRDefault="00013B5D" w:rsidP="00013B5D">
      <w:pPr>
        <w:rPr>
          <w:rFonts w:ascii="Aptos" w:eastAsia="Aptos" w:hAnsi="Aptos" w:cs="Arial"/>
          <w:sz w:val="24"/>
          <w:szCs w:val="24"/>
        </w:rPr>
      </w:pPr>
      <w:r w:rsidRPr="00636F9A">
        <w:rPr>
          <w:rFonts w:ascii="Aptos" w:eastAsia="Aptos" w:hAnsi="Aptos" w:cs="Arial"/>
          <w:sz w:val="24"/>
          <w:szCs w:val="24"/>
        </w:rPr>
        <w:t>As part of the reporting on the VS process, a Power BI tool provided regular information on the number of applications, and a range of relevant employment information. This included current equality information on the sex, age range, disability status, ethnicity and sexual orientation of applicants compared to the University benchmark. This information has been used to provide the analysis below.</w:t>
      </w:r>
    </w:p>
    <w:p w14:paraId="64FC1EB4" w14:textId="77777777" w:rsidR="00013B5D" w:rsidRPr="00636F9A" w:rsidRDefault="00013B5D" w:rsidP="00013B5D">
      <w:pPr>
        <w:keepNext/>
        <w:keepLines/>
        <w:spacing w:before="80" w:after="40"/>
        <w:outlineLvl w:val="4"/>
        <w:rPr>
          <w:rFonts w:ascii="Aptos" w:eastAsia="Yu Gothic Light" w:hAnsi="Aptos" w:cs="Times New Roman"/>
          <w:color w:val="0F4761"/>
        </w:rPr>
      </w:pPr>
      <w:r w:rsidRPr="00636F9A">
        <w:rPr>
          <w:rFonts w:ascii="Aptos" w:eastAsia="Yu Gothic Light" w:hAnsi="Aptos" w:cs="Times New Roman"/>
          <w:color w:val="0F4761"/>
        </w:rPr>
        <w:t>4.1 Age range</w:t>
      </w:r>
    </w:p>
    <w:p w14:paraId="3732CF1C" w14:textId="77777777" w:rsidR="00013B5D" w:rsidRPr="00636F9A" w:rsidRDefault="00013B5D" w:rsidP="00013B5D">
      <w:pPr>
        <w:rPr>
          <w:rFonts w:ascii="Aptos" w:eastAsia="Aptos" w:hAnsi="Aptos" w:cs="Arial"/>
          <w:sz w:val="24"/>
          <w:szCs w:val="24"/>
        </w:rPr>
      </w:pPr>
      <w:r w:rsidRPr="00636F9A">
        <w:rPr>
          <w:rFonts w:ascii="Aptos" w:eastAsia="Aptos" w:hAnsi="Aptos" w:cs="Arial"/>
          <w:sz w:val="24"/>
          <w:szCs w:val="24"/>
        </w:rPr>
        <w:t>Table 1 show the percentage of each age range for the University, compared to the VS applicants, Approved and Rejected.</w:t>
      </w:r>
    </w:p>
    <w:tbl>
      <w:tblPr>
        <w:tblStyle w:val="GridTable5Dark-Accent12"/>
        <w:tblW w:w="0" w:type="auto"/>
        <w:tblLook w:val="04A0" w:firstRow="1" w:lastRow="0" w:firstColumn="1" w:lastColumn="0" w:noHBand="0" w:noVBand="1"/>
      </w:tblPr>
      <w:tblGrid>
        <w:gridCol w:w="1696"/>
        <w:gridCol w:w="2091"/>
        <w:gridCol w:w="2091"/>
        <w:gridCol w:w="2091"/>
        <w:gridCol w:w="2091"/>
      </w:tblGrid>
      <w:tr w:rsidR="00013B5D" w:rsidRPr="00636F9A" w14:paraId="69993C42" w14:textId="77777777" w:rsidTr="001F29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33403858" w14:textId="77777777" w:rsidR="00013B5D" w:rsidRPr="00636F9A" w:rsidRDefault="00013B5D" w:rsidP="00805986">
            <w:pPr>
              <w:rPr>
                <w:rFonts w:ascii="Aptos" w:eastAsia="Aptos" w:hAnsi="Aptos" w:cs="Arial"/>
                <w:sz w:val="24"/>
                <w:szCs w:val="24"/>
              </w:rPr>
            </w:pPr>
            <w:r w:rsidRPr="00636F9A">
              <w:rPr>
                <w:rFonts w:ascii="Aptos" w:eastAsia="Aptos" w:hAnsi="Aptos" w:cs="Arial"/>
                <w:sz w:val="24"/>
                <w:szCs w:val="24"/>
              </w:rPr>
              <w:t>Age range</w:t>
            </w:r>
          </w:p>
        </w:tc>
        <w:tc>
          <w:tcPr>
            <w:tcW w:w="2091" w:type="dxa"/>
          </w:tcPr>
          <w:p w14:paraId="41BE5346" w14:textId="77777777" w:rsidR="00013B5D" w:rsidRPr="00636F9A" w:rsidRDefault="00013B5D" w:rsidP="00805986">
            <w:pPr>
              <w:cnfStyle w:val="100000000000" w:firstRow="1" w:lastRow="0" w:firstColumn="0" w:lastColumn="0" w:oddVBand="0" w:evenVBand="0" w:oddHBand="0" w:evenHBand="0" w:firstRowFirstColumn="0" w:firstRowLastColumn="0" w:lastRowFirstColumn="0" w:lastRowLastColumn="0"/>
              <w:rPr>
                <w:rFonts w:ascii="Aptos" w:eastAsia="Aptos" w:hAnsi="Aptos" w:cs="Arial"/>
                <w:sz w:val="24"/>
                <w:szCs w:val="24"/>
              </w:rPr>
            </w:pPr>
            <w:r w:rsidRPr="00636F9A">
              <w:rPr>
                <w:rFonts w:ascii="Aptos" w:eastAsia="Aptos" w:hAnsi="Aptos" w:cs="Arial"/>
                <w:sz w:val="24"/>
                <w:szCs w:val="24"/>
              </w:rPr>
              <w:t>University %</w:t>
            </w:r>
          </w:p>
        </w:tc>
        <w:tc>
          <w:tcPr>
            <w:tcW w:w="2091" w:type="dxa"/>
          </w:tcPr>
          <w:p w14:paraId="3D8D6CF6" w14:textId="77777777" w:rsidR="00013B5D" w:rsidRPr="00636F9A" w:rsidRDefault="00013B5D" w:rsidP="00805986">
            <w:pPr>
              <w:cnfStyle w:val="100000000000" w:firstRow="1" w:lastRow="0" w:firstColumn="0" w:lastColumn="0" w:oddVBand="0" w:evenVBand="0" w:oddHBand="0" w:evenHBand="0" w:firstRowFirstColumn="0" w:firstRowLastColumn="0" w:lastRowFirstColumn="0" w:lastRowLastColumn="0"/>
              <w:rPr>
                <w:rFonts w:ascii="Aptos" w:eastAsia="Aptos" w:hAnsi="Aptos" w:cs="Arial"/>
                <w:sz w:val="24"/>
                <w:szCs w:val="24"/>
              </w:rPr>
            </w:pPr>
            <w:r w:rsidRPr="00636F9A">
              <w:rPr>
                <w:rFonts w:ascii="Aptos" w:eastAsia="Aptos" w:hAnsi="Aptos" w:cs="Arial"/>
                <w:sz w:val="24"/>
                <w:szCs w:val="24"/>
              </w:rPr>
              <w:t>VS Applicant %</w:t>
            </w:r>
          </w:p>
        </w:tc>
        <w:tc>
          <w:tcPr>
            <w:tcW w:w="2091" w:type="dxa"/>
          </w:tcPr>
          <w:p w14:paraId="7599EC9C" w14:textId="77777777" w:rsidR="00013B5D" w:rsidRPr="00636F9A" w:rsidRDefault="00013B5D" w:rsidP="00805986">
            <w:pPr>
              <w:cnfStyle w:val="100000000000" w:firstRow="1" w:lastRow="0" w:firstColumn="0" w:lastColumn="0" w:oddVBand="0" w:evenVBand="0" w:oddHBand="0" w:evenHBand="0" w:firstRowFirstColumn="0" w:firstRowLastColumn="0" w:lastRowFirstColumn="0" w:lastRowLastColumn="0"/>
              <w:rPr>
                <w:rFonts w:ascii="Aptos" w:eastAsia="Aptos" w:hAnsi="Aptos" w:cs="Arial"/>
                <w:sz w:val="24"/>
                <w:szCs w:val="24"/>
              </w:rPr>
            </w:pPr>
            <w:r w:rsidRPr="00636F9A">
              <w:rPr>
                <w:rFonts w:ascii="Aptos" w:eastAsia="Aptos" w:hAnsi="Aptos" w:cs="Arial"/>
                <w:sz w:val="24"/>
                <w:szCs w:val="24"/>
              </w:rPr>
              <w:t>% Approved</w:t>
            </w:r>
          </w:p>
        </w:tc>
        <w:tc>
          <w:tcPr>
            <w:tcW w:w="2091" w:type="dxa"/>
          </w:tcPr>
          <w:p w14:paraId="2D17154F" w14:textId="77777777" w:rsidR="00013B5D" w:rsidRPr="00636F9A" w:rsidRDefault="00013B5D" w:rsidP="00805986">
            <w:pPr>
              <w:cnfStyle w:val="100000000000" w:firstRow="1" w:lastRow="0" w:firstColumn="0" w:lastColumn="0" w:oddVBand="0" w:evenVBand="0" w:oddHBand="0" w:evenHBand="0" w:firstRowFirstColumn="0" w:firstRowLastColumn="0" w:lastRowFirstColumn="0" w:lastRowLastColumn="0"/>
              <w:rPr>
                <w:rFonts w:ascii="Aptos" w:eastAsia="Aptos" w:hAnsi="Aptos" w:cs="Arial"/>
                <w:sz w:val="24"/>
                <w:szCs w:val="24"/>
              </w:rPr>
            </w:pPr>
            <w:r w:rsidRPr="00636F9A">
              <w:rPr>
                <w:rFonts w:ascii="Aptos" w:eastAsia="Aptos" w:hAnsi="Aptos" w:cs="Arial"/>
                <w:sz w:val="24"/>
                <w:szCs w:val="24"/>
              </w:rPr>
              <w:t>% Rejected</w:t>
            </w:r>
          </w:p>
        </w:tc>
      </w:tr>
      <w:tr w:rsidR="00013B5D" w:rsidRPr="00636F9A" w14:paraId="57B8F2DB" w14:textId="77777777" w:rsidTr="001F29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36A99189" w14:textId="77777777" w:rsidR="00013B5D" w:rsidRPr="00636F9A" w:rsidRDefault="00013B5D" w:rsidP="00805986">
            <w:pPr>
              <w:rPr>
                <w:rFonts w:ascii="Aptos" w:eastAsia="Aptos" w:hAnsi="Aptos" w:cs="Arial"/>
                <w:sz w:val="24"/>
                <w:szCs w:val="24"/>
              </w:rPr>
            </w:pPr>
            <w:r w:rsidRPr="00636F9A">
              <w:rPr>
                <w:rFonts w:ascii="Aptos" w:eastAsia="Aptos" w:hAnsi="Aptos" w:cs="Arial"/>
                <w:sz w:val="24"/>
                <w:szCs w:val="24"/>
              </w:rPr>
              <w:t>20 or under</w:t>
            </w:r>
          </w:p>
        </w:tc>
        <w:tc>
          <w:tcPr>
            <w:tcW w:w="2091" w:type="dxa"/>
          </w:tcPr>
          <w:p w14:paraId="2240FB47" w14:textId="77777777" w:rsidR="00013B5D" w:rsidRPr="00636F9A" w:rsidRDefault="00013B5D" w:rsidP="00805986">
            <w:pPr>
              <w:cnfStyle w:val="000000100000" w:firstRow="0" w:lastRow="0" w:firstColumn="0" w:lastColumn="0" w:oddVBand="0" w:evenVBand="0" w:oddHBand="1" w:evenHBand="0" w:firstRowFirstColumn="0" w:firstRowLastColumn="0" w:lastRowFirstColumn="0" w:lastRowLastColumn="0"/>
              <w:rPr>
                <w:rFonts w:ascii="Aptos" w:eastAsia="Aptos" w:hAnsi="Aptos" w:cs="Arial"/>
                <w:sz w:val="24"/>
                <w:szCs w:val="24"/>
              </w:rPr>
            </w:pPr>
            <w:r w:rsidRPr="00636F9A">
              <w:rPr>
                <w:rFonts w:ascii="Aptos" w:eastAsia="Aptos" w:hAnsi="Aptos" w:cs="Arial"/>
                <w:sz w:val="24"/>
                <w:szCs w:val="24"/>
              </w:rPr>
              <w:t>1</w:t>
            </w:r>
          </w:p>
        </w:tc>
        <w:tc>
          <w:tcPr>
            <w:tcW w:w="2091" w:type="dxa"/>
          </w:tcPr>
          <w:p w14:paraId="31F4A9B6" w14:textId="77777777" w:rsidR="00013B5D" w:rsidRPr="00636F9A" w:rsidRDefault="00013B5D" w:rsidP="00805986">
            <w:pPr>
              <w:cnfStyle w:val="000000100000" w:firstRow="0" w:lastRow="0" w:firstColumn="0" w:lastColumn="0" w:oddVBand="0" w:evenVBand="0" w:oddHBand="1" w:evenHBand="0" w:firstRowFirstColumn="0" w:firstRowLastColumn="0" w:lastRowFirstColumn="0" w:lastRowLastColumn="0"/>
              <w:rPr>
                <w:rFonts w:ascii="Aptos" w:eastAsia="Aptos" w:hAnsi="Aptos" w:cs="Arial"/>
                <w:sz w:val="24"/>
                <w:szCs w:val="24"/>
              </w:rPr>
            </w:pPr>
            <w:r w:rsidRPr="00636F9A">
              <w:rPr>
                <w:rFonts w:ascii="Aptos" w:eastAsia="Aptos" w:hAnsi="Aptos" w:cs="Arial"/>
                <w:sz w:val="24"/>
                <w:szCs w:val="24"/>
              </w:rPr>
              <w:t>0.</w:t>
            </w:r>
            <w:r>
              <w:rPr>
                <w:rFonts w:ascii="Aptos" w:eastAsia="Aptos" w:hAnsi="Aptos" w:cs="Arial"/>
                <w:sz w:val="24"/>
                <w:szCs w:val="24"/>
              </w:rPr>
              <w:t>3</w:t>
            </w:r>
          </w:p>
        </w:tc>
        <w:tc>
          <w:tcPr>
            <w:tcW w:w="2091" w:type="dxa"/>
          </w:tcPr>
          <w:p w14:paraId="121F7992" w14:textId="77777777" w:rsidR="00013B5D" w:rsidRPr="00636F9A" w:rsidRDefault="00013B5D" w:rsidP="00805986">
            <w:pPr>
              <w:cnfStyle w:val="000000100000" w:firstRow="0" w:lastRow="0" w:firstColumn="0" w:lastColumn="0" w:oddVBand="0" w:evenVBand="0" w:oddHBand="1" w:evenHBand="0" w:firstRowFirstColumn="0" w:firstRowLastColumn="0" w:lastRowFirstColumn="0" w:lastRowLastColumn="0"/>
              <w:rPr>
                <w:rFonts w:ascii="Aptos" w:eastAsia="Aptos" w:hAnsi="Aptos" w:cs="Arial"/>
                <w:sz w:val="24"/>
                <w:szCs w:val="24"/>
              </w:rPr>
            </w:pPr>
            <w:r w:rsidRPr="00636F9A">
              <w:rPr>
                <w:rFonts w:ascii="Aptos" w:eastAsia="Aptos" w:hAnsi="Aptos" w:cs="Arial"/>
                <w:sz w:val="24"/>
                <w:szCs w:val="24"/>
              </w:rPr>
              <w:t>0.</w:t>
            </w:r>
            <w:r>
              <w:rPr>
                <w:rFonts w:ascii="Aptos" w:eastAsia="Aptos" w:hAnsi="Aptos" w:cs="Arial"/>
                <w:sz w:val="24"/>
                <w:szCs w:val="24"/>
              </w:rPr>
              <w:t>3</w:t>
            </w:r>
          </w:p>
        </w:tc>
        <w:tc>
          <w:tcPr>
            <w:tcW w:w="2091" w:type="dxa"/>
          </w:tcPr>
          <w:p w14:paraId="5C879055" w14:textId="77777777" w:rsidR="00013B5D" w:rsidRPr="00636F9A" w:rsidRDefault="00013B5D" w:rsidP="00805986">
            <w:pPr>
              <w:cnfStyle w:val="000000100000" w:firstRow="0" w:lastRow="0" w:firstColumn="0" w:lastColumn="0" w:oddVBand="0" w:evenVBand="0" w:oddHBand="1" w:evenHBand="0" w:firstRowFirstColumn="0" w:firstRowLastColumn="0" w:lastRowFirstColumn="0" w:lastRowLastColumn="0"/>
              <w:rPr>
                <w:rFonts w:ascii="Aptos" w:eastAsia="Aptos" w:hAnsi="Aptos" w:cs="Arial"/>
                <w:sz w:val="24"/>
                <w:szCs w:val="24"/>
              </w:rPr>
            </w:pPr>
            <w:r w:rsidRPr="00636F9A">
              <w:rPr>
                <w:rFonts w:ascii="Aptos" w:eastAsia="Aptos" w:hAnsi="Aptos" w:cs="Arial"/>
                <w:sz w:val="24"/>
                <w:szCs w:val="24"/>
              </w:rPr>
              <w:t>0</w:t>
            </w:r>
          </w:p>
        </w:tc>
      </w:tr>
      <w:tr w:rsidR="00013B5D" w:rsidRPr="00636F9A" w14:paraId="5C5CF970" w14:textId="77777777" w:rsidTr="001F292C">
        <w:tc>
          <w:tcPr>
            <w:cnfStyle w:val="001000000000" w:firstRow="0" w:lastRow="0" w:firstColumn="1" w:lastColumn="0" w:oddVBand="0" w:evenVBand="0" w:oddHBand="0" w:evenHBand="0" w:firstRowFirstColumn="0" w:firstRowLastColumn="0" w:lastRowFirstColumn="0" w:lastRowLastColumn="0"/>
            <w:tcW w:w="1696" w:type="dxa"/>
          </w:tcPr>
          <w:p w14:paraId="6D499D90" w14:textId="77777777" w:rsidR="00013B5D" w:rsidRPr="00636F9A" w:rsidRDefault="00013B5D" w:rsidP="00805986">
            <w:pPr>
              <w:rPr>
                <w:rFonts w:ascii="Aptos" w:eastAsia="Aptos" w:hAnsi="Aptos" w:cs="Arial"/>
                <w:sz w:val="24"/>
                <w:szCs w:val="24"/>
              </w:rPr>
            </w:pPr>
            <w:r w:rsidRPr="00636F9A">
              <w:rPr>
                <w:rFonts w:ascii="Aptos" w:eastAsia="Aptos" w:hAnsi="Aptos" w:cs="Arial"/>
                <w:sz w:val="24"/>
                <w:szCs w:val="24"/>
              </w:rPr>
              <w:t>21-30</w:t>
            </w:r>
          </w:p>
        </w:tc>
        <w:tc>
          <w:tcPr>
            <w:tcW w:w="2091" w:type="dxa"/>
          </w:tcPr>
          <w:p w14:paraId="3C2E8DA1" w14:textId="77777777" w:rsidR="00013B5D" w:rsidRPr="00636F9A" w:rsidRDefault="00013B5D" w:rsidP="00805986">
            <w:pPr>
              <w:cnfStyle w:val="000000000000" w:firstRow="0" w:lastRow="0" w:firstColumn="0" w:lastColumn="0" w:oddVBand="0" w:evenVBand="0" w:oddHBand="0" w:evenHBand="0" w:firstRowFirstColumn="0" w:firstRowLastColumn="0" w:lastRowFirstColumn="0" w:lastRowLastColumn="0"/>
              <w:rPr>
                <w:rFonts w:ascii="Aptos" w:eastAsia="Aptos" w:hAnsi="Aptos" w:cs="Arial"/>
                <w:sz w:val="24"/>
                <w:szCs w:val="24"/>
              </w:rPr>
            </w:pPr>
            <w:r w:rsidRPr="00636F9A">
              <w:rPr>
                <w:rFonts w:ascii="Aptos" w:eastAsia="Aptos" w:hAnsi="Aptos" w:cs="Arial"/>
                <w:sz w:val="24"/>
                <w:szCs w:val="24"/>
              </w:rPr>
              <w:t>14.7</w:t>
            </w:r>
          </w:p>
        </w:tc>
        <w:tc>
          <w:tcPr>
            <w:tcW w:w="2091" w:type="dxa"/>
          </w:tcPr>
          <w:p w14:paraId="60FC3E1E" w14:textId="77777777" w:rsidR="00013B5D" w:rsidRPr="00636F9A" w:rsidRDefault="00013B5D" w:rsidP="00805986">
            <w:pPr>
              <w:cnfStyle w:val="000000000000" w:firstRow="0" w:lastRow="0" w:firstColumn="0" w:lastColumn="0" w:oddVBand="0" w:evenVBand="0" w:oddHBand="0" w:evenHBand="0" w:firstRowFirstColumn="0" w:firstRowLastColumn="0" w:lastRowFirstColumn="0" w:lastRowLastColumn="0"/>
              <w:rPr>
                <w:rFonts w:ascii="Aptos" w:eastAsia="Aptos" w:hAnsi="Aptos" w:cs="Arial"/>
                <w:sz w:val="24"/>
                <w:szCs w:val="24"/>
              </w:rPr>
            </w:pPr>
            <w:r>
              <w:rPr>
                <w:rFonts w:ascii="Aptos" w:eastAsia="Aptos" w:hAnsi="Aptos" w:cs="Arial"/>
                <w:sz w:val="24"/>
                <w:szCs w:val="24"/>
              </w:rPr>
              <w:t>8.6</w:t>
            </w:r>
          </w:p>
        </w:tc>
        <w:tc>
          <w:tcPr>
            <w:tcW w:w="2091" w:type="dxa"/>
          </w:tcPr>
          <w:p w14:paraId="47E7DC90" w14:textId="77777777" w:rsidR="00013B5D" w:rsidRPr="00636F9A" w:rsidRDefault="00013B5D" w:rsidP="00805986">
            <w:pPr>
              <w:cnfStyle w:val="000000000000" w:firstRow="0" w:lastRow="0" w:firstColumn="0" w:lastColumn="0" w:oddVBand="0" w:evenVBand="0" w:oddHBand="0" w:evenHBand="0" w:firstRowFirstColumn="0" w:firstRowLastColumn="0" w:lastRowFirstColumn="0" w:lastRowLastColumn="0"/>
              <w:rPr>
                <w:rFonts w:ascii="Aptos" w:eastAsia="Aptos" w:hAnsi="Aptos" w:cs="Arial"/>
                <w:sz w:val="24"/>
                <w:szCs w:val="24"/>
              </w:rPr>
            </w:pPr>
            <w:r w:rsidRPr="00636F9A">
              <w:rPr>
                <w:rFonts w:ascii="Aptos" w:eastAsia="Aptos" w:hAnsi="Aptos" w:cs="Arial"/>
                <w:sz w:val="24"/>
                <w:szCs w:val="24"/>
              </w:rPr>
              <w:t>6.</w:t>
            </w:r>
            <w:r>
              <w:rPr>
                <w:rFonts w:ascii="Aptos" w:eastAsia="Aptos" w:hAnsi="Aptos" w:cs="Arial"/>
                <w:sz w:val="24"/>
                <w:szCs w:val="24"/>
              </w:rPr>
              <w:t>3</w:t>
            </w:r>
          </w:p>
        </w:tc>
        <w:tc>
          <w:tcPr>
            <w:tcW w:w="2091" w:type="dxa"/>
          </w:tcPr>
          <w:p w14:paraId="25056E16" w14:textId="77777777" w:rsidR="00013B5D" w:rsidRPr="00636F9A" w:rsidRDefault="00013B5D" w:rsidP="00805986">
            <w:pPr>
              <w:cnfStyle w:val="000000000000" w:firstRow="0" w:lastRow="0" w:firstColumn="0" w:lastColumn="0" w:oddVBand="0" w:evenVBand="0" w:oddHBand="0" w:evenHBand="0" w:firstRowFirstColumn="0" w:firstRowLastColumn="0" w:lastRowFirstColumn="0" w:lastRowLastColumn="0"/>
              <w:rPr>
                <w:rFonts w:ascii="Aptos" w:eastAsia="Aptos" w:hAnsi="Aptos" w:cs="Arial"/>
                <w:sz w:val="24"/>
                <w:szCs w:val="24"/>
              </w:rPr>
            </w:pPr>
            <w:r w:rsidRPr="00636F9A">
              <w:rPr>
                <w:rFonts w:ascii="Aptos" w:eastAsia="Aptos" w:hAnsi="Aptos" w:cs="Arial"/>
                <w:sz w:val="24"/>
                <w:szCs w:val="24"/>
              </w:rPr>
              <w:t>13.0</w:t>
            </w:r>
          </w:p>
        </w:tc>
      </w:tr>
      <w:tr w:rsidR="00013B5D" w:rsidRPr="00636F9A" w14:paraId="6194E9A1" w14:textId="77777777" w:rsidTr="001F29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75DA2769" w14:textId="77777777" w:rsidR="00013B5D" w:rsidRPr="00636F9A" w:rsidRDefault="00013B5D" w:rsidP="00805986">
            <w:pPr>
              <w:rPr>
                <w:rFonts w:ascii="Aptos" w:eastAsia="Aptos" w:hAnsi="Aptos" w:cs="Arial"/>
                <w:sz w:val="24"/>
                <w:szCs w:val="24"/>
              </w:rPr>
            </w:pPr>
            <w:r w:rsidRPr="00636F9A">
              <w:rPr>
                <w:rFonts w:ascii="Aptos" w:eastAsia="Aptos" w:hAnsi="Aptos" w:cs="Arial"/>
                <w:sz w:val="24"/>
                <w:szCs w:val="24"/>
              </w:rPr>
              <w:t>31-40</w:t>
            </w:r>
          </w:p>
        </w:tc>
        <w:tc>
          <w:tcPr>
            <w:tcW w:w="2091" w:type="dxa"/>
          </w:tcPr>
          <w:p w14:paraId="4D26CC4C" w14:textId="77777777" w:rsidR="00013B5D" w:rsidRPr="00636F9A" w:rsidRDefault="00013B5D" w:rsidP="00805986">
            <w:pPr>
              <w:cnfStyle w:val="000000100000" w:firstRow="0" w:lastRow="0" w:firstColumn="0" w:lastColumn="0" w:oddVBand="0" w:evenVBand="0" w:oddHBand="1" w:evenHBand="0" w:firstRowFirstColumn="0" w:firstRowLastColumn="0" w:lastRowFirstColumn="0" w:lastRowLastColumn="0"/>
              <w:rPr>
                <w:rFonts w:ascii="Aptos" w:eastAsia="Aptos" w:hAnsi="Aptos" w:cs="Arial"/>
                <w:sz w:val="24"/>
                <w:szCs w:val="24"/>
              </w:rPr>
            </w:pPr>
            <w:r w:rsidRPr="00636F9A">
              <w:rPr>
                <w:rFonts w:ascii="Aptos" w:eastAsia="Aptos" w:hAnsi="Aptos" w:cs="Arial"/>
                <w:sz w:val="24"/>
                <w:szCs w:val="24"/>
              </w:rPr>
              <w:t>23.6</w:t>
            </w:r>
          </w:p>
        </w:tc>
        <w:tc>
          <w:tcPr>
            <w:tcW w:w="2091" w:type="dxa"/>
          </w:tcPr>
          <w:p w14:paraId="647861D7" w14:textId="77777777" w:rsidR="00013B5D" w:rsidRPr="00636F9A" w:rsidRDefault="00013B5D" w:rsidP="00805986">
            <w:pPr>
              <w:cnfStyle w:val="000000100000" w:firstRow="0" w:lastRow="0" w:firstColumn="0" w:lastColumn="0" w:oddVBand="0" w:evenVBand="0" w:oddHBand="1" w:evenHBand="0" w:firstRowFirstColumn="0" w:firstRowLastColumn="0" w:lastRowFirstColumn="0" w:lastRowLastColumn="0"/>
              <w:rPr>
                <w:rFonts w:ascii="Aptos" w:eastAsia="Aptos" w:hAnsi="Aptos" w:cs="Arial"/>
                <w:sz w:val="24"/>
                <w:szCs w:val="24"/>
              </w:rPr>
            </w:pPr>
            <w:r>
              <w:rPr>
                <w:rFonts w:ascii="Aptos" w:eastAsia="Aptos" w:hAnsi="Aptos" w:cs="Arial"/>
                <w:sz w:val="24"/>
                <w:szCs w:val="24"/>
              </w:rPr>
              <w:t>12.4</w:t>
            </w:r>
          </w:p>
        </w:tc>
        <w:tc>
          <w:tcPr>
            <w:tcW w:w="2091" w:type="dxa"/>
          </w:tcPr>
          <w:p w14:paraId="794E53F6" w14:textId="77777777" w:rsidR="00013B5D" w:rsidRPr="00636F9A" w:rsidRDefault="00013B5D" w:rsidP="00805986">
            <w:pPr>
              <w:cnfStyle w:val="000000100000" w:firstRow="0" w:lastRow="0" w:firstColumn="0" w:lastColumn="0" w:oddVBand="0" w:evenVBand="0" w:oddHBand="1" w:evenHBand="0" w:firstRowFirstColumn="0" w:firstRowLastColumn="0" w:lastRowFirstColumn="0" w:lastRowLastColumn="0"/>
              <w:rPr>
                <w:rFonts w:ascii="Aptos" w:eastAsia="Aptos" w:hAnsi="Aptos" w:cs="Arial"/>
                <w:sz w:val="24"/>
                <w:szCs w:val="24"/>
              </w:rPr>
            </w:pPr>
            <w:r w:rsidRPr="00636F9A">
              <w:rPr>
                <w:rFonts w:ascii="Aptos" w:eastAsia="Aptos" w:hAnsi="Aptos" w:cs="Arial"/>
                <w:sz w:val="24"/>
                <w:szCs w:val="24"/>
              </w:rPr>
              <w:t>10.</w:t>
            </w:r>
            <w:r>
              <w:rPr>
                <w:rFonts w:ascii="Aptos" w:eastAsia="Aptos" w:hAnsi="Aptos" w:cs="Arial"/>
                <w:sz w:val="24"/>
                <w:szCs w:val="24"/>
              </w:rPr>
              <w:t>1</w:t>
            </w:r>
          </w:p>
        </w:tc>
        <w:tc>
          <w:tcPr>
            <w:tcW w:w="2091" w:type="dxa"/>
          </w:tcPr>
          <w:p w14:paraId="4CF802EC" w14:textId="77777777" w:rsidR="00013B5D" w:rsidRPr="00636F9A" w:rsidRDefault="00013B5D" w:rsidP="00805986">
            <w:pPr>
              <w:cnfStyle w:val="000000100000" w:firstRow="0" w:lastRow="0" w:firstColumn="0" w:lastColumn="0" w:oddVBand="0" w:evenVBand="0" w:oddHBand="1" w:evenHBand="0" w:firstRowFirstColumn="0" w:firstRowLastColumn="0" w:lastRowFirstColumn="0" w:lastRowLastColumn="0"/>
              <w:rPr>
                <w:rFonts w:ascii="Aptos" w:eastAsia="Aptos" w:hAnsi="Aptos" w:cs="Arial"/>
                <w:sz w:val="24"/>
                <w:szCs w:val="24"/>
              </w:rPr>
            </w:pPr>
            <w:r w:rsidRPr="00636F9A">
              <w:rPr>
                <w:rFonts w:ascii="Aptos" w:eastAsia="Aptos" w:hAnsi="Aptos" w:cs="Arial"/>
                <w:sz w:val="24"/>
                <w:szCs w:val="24"/>
              </w:rPr>
              <w:t>18.5</w:t>
            </w:r>
          </w:p>
        </w:tc>
      </w:tr>
      <w:tr w:rsidR="00013B5D" w:rsidRPr="00636F9A" w14:paraId="666D7F3A" w14:textId="77777777" w:rsidTr="001F292C">
        <w:tc>
          <w:tcPr>
            <w:cnfStyle w:val="001000000000" w:firstRow="0" w:lastRow="0" w:firstColumn="1" w:lastColumn="0" w:oddVBand="0" w:evenVBand="0" w:oddHBand="0" w:evenHBand="0" w:firstRowFirstColumn="0" w:firstRowLastColumn="0" w:lastRowFirstColumn="0" w:lastRowLastColumn="0"/>
            <w:tcW w:w="1696" w:type="dxa"/>
          </w:tcPr>
          <w:p w14:paraId="28D3B3C9" w14:textId="77777777" w:rsidR="00013B5D" w:rsidRPr="00636F9A" w:rsidRDefault="00013B5D" w:rsidP="00805986">
            <w:pPr>
              <w:rPr>
                <w:rFonts w:ascii="Aptos" w:eastAsia="Aptos" w:hAnsi="Aptos" w:cs="Arial"/>
                <w:sz w:val="24"/>
                <w:szCs w:val="24"/>
              </w:rPr>
            </w:pPr>
            <w:r w:rsidRPr="00636F9A">
              <w:rPr>
                <w:rFonts w:ascii="Aptos" w:eastAsia="Aptos" w:hAnsi="Aptos" w:cs="Arial"/>
                <w:sz w:val="24"/>
                <w:szCs w:val="24"/>
              </w:rPr>
              <w:t>41-50</w:t>
            </w:r>
          </w:p>
        </w:tc>
        <w:tc>
          <w:tcPr>
            <w:tcW w:w="2091" w:type="dxa"/>
          </w:tcPr>
          <w:p w14:paraId="5CA4E7E1" w14:textId="77777777" w:rsidR="00013B5D" w:rsidRPr="00636F9A" w:rsidRDefault="00013B5D" w:rsidP="00805986">
            <w:pPr>
              <w:cnfStyle w:val="000000000000" w:firstRow="0" w:lastRow="0" w:firstColumn="0" w:lastColumn="0" w:oddVBand="0" w:evenVBand="0" w:oddHBand="0" w:evenHBand="0" w:firstRowFirstColumn="0" w:firstRowLastColumn="0" w:lastRowFirstColumn="0" w:lastRowLastColumn="0"/>
              <w:rPr>
                <w:rFonts w:ascii="Aptos" w:eastAsia="Aptos" w:hAnsi="Aptos" w:cs="Arial"/>
                <w:sz w:val="24"/>
                <w:szCs w:val="24"/>
              </w:rPr>
            </w:pPr>
            <w:r w:rsidRPr="00636F9A">
              <w:rPr>
                <w:rFonts w:ascii="Aptos" w:eastAsia="Aptos" w:hAnsi="Aptos" w:cs="Arial"/>
                <w:sz w:val="24"/>
                <w:szCs w:val="24"/>
              </w:rPr>
              <w:t>23.7</w:t>
            </w:r>
          </w:p>
        </w:tc>
        <w:tc>
          <w:tcPr>
            <w:tcW w:w="2091" w:type="dxa"/>
          </w:tcPr>
          <w:p w14:paraId="3D6095FA" w14:textId="77777777" w:rsidR="00013B5D" w:rsidRPr="00636F9A" w:rsidRDefault="00013B5D" w:rsidP="00805986">
            <w:pPr>
              <w:cnfStyle w:val="000000000000" w:firstRow="0" w:lastRow="0" w:firstColumn="0" w:lastColumn="0" w:oddVBand="0" w:evenVBand="0" w:oddHBand="0" w:evenHBand="0" w:firstRowFirstColumn="0" w:firstRowLastColumn="0" w:lastRowFirstColumn="0" w:lastRowLastColumn="0"/>
              <w:rPr>
                <w:rFonts w:ascii="Aptos" w:eastAsia="Aptos" w:hAnsi="Aptos" w:cs="Arial"/>
                <w:sz w:val="24"/>
                <w:szCs w:val="24"/>
              </w:rPr>
            </w:pPr>
            <w:r w:rsidRPr="00636F9A">
              <w:rPr>
                <w:rFonts w:ascii="Aptos" w:eastAsia="Aptos" w:hAnsi="Aptos" w:cs="Arial"/>
                <w:sz w:val="24"/>
                <w:szCs w:val="24"/>
              </w:rPr>
              <w:t>14</w:t>
            </w:r>
            <w:r>
              <w:rPr>
                <w:rFonts w:ascii="Aptos" w:eastAsia="Aptos" w:hAnsi="Aptos" w:cs="Arial"/>
                <w:sz w:val="24"/>
                <w:szCs w:val="24"/>
              </w:rPr>
              <w:t>.2</w:t>
            </w:r>
          </w:p>
        </w:tc>
        <w:tc>
          <w:tcPr>
            <w:tcW w:w="2091" w:type="dxa"/>
          </w:tcPr>
          <w:p w14:paraId="3D667F99" w14:textId="77777777" w:rsidR="00013B5D" w:rsidRPr="00636F9A" w:rsidRDefault="00013B5D" w:rsidP="00805986">
            <w:pPr>
              <w:cnfStyle w:val="000000000000" w:firstRow="0" w:lastRow="0" w:firstColumn="0" w:lastColumn="0" w:oddVBand="0" w:evenVBand="0" w:oddHBand="0" w:evenHBand="0" w:firstRowFirstColumn="0" w:firstRowLastColumn="0" w:lastRowFirstColumn="0" w:lastRowLastColumn="0"/>
              <w:rPr>
                <w:rFonts w:ascii="Aptos" w:eastAsia="Aptos" w:hAnsi="Aptos" w:cs="Arial"/>
                <w:sz w:val="24"/>
                <w:szCs w:val="24"/>
              </w:rPr>
            </w:pPr>
            <w:r w:rsidRPr="00636F9A">
              <w:rPr>
                <w:rFonts w:ascii="Aptos" w:eastAsia="Aptos" w:hAnsi="Aptos" w:cs="Arial"/>
                <w:sz w:val="24"/>
                <w:szCs w:val="24"/>
              </w:rPr>
              <w:t>12.</w:t>
            </w:r>
            <w:r>
              <w:rPr>
                <w:rFonts w:ascii="Aptos" w:eastAsia="Aptos" w:hAnsi="Aptos" w:cs="Arial"/>
                <w:sz w:val="24"/>
                <w:szCs w:val="24"/>
              </w:rPr>
              <w:t>2</w:t>
            </w:r>
          </w:p>
        </w:tc>
        <w:tc>
          <w:tcPr>
            <w:tcW w:w="2091" w:type="dxa"/>
          </w:tcPr>
          <w:p w14:paraId="2039DA04" w14:textId="77777777" w:rsidR="00013B5D" w:rsidRPr="00636F9A" w:rsidRDefault="00013B5D" w:rsidP="00805986">
            <w:pPr>
              <w:cnfStyle w:val="000000000000" w:firstRow="0" w:lastRow="0" w:firstColumn="0" w:lastColumn="0" w:oddVBand="0" w:evenVBand="0" w:oddHBand="0" w:evenHBand="0" w:firstRowFirstColumn="0" w:firstRowLastColumn="0" w:lastRowFirstColumn="0" w:lastRowLastColumn="0"/>
              <w:rPr>
                <w:rFonts w:ascii="Aptos" w:eastAsia="Aptos" w:hAnsi="Aptos" w:cs="Arial"/>
                <w:sz w:val="24"/>
                <w:szCs w:val="24"/>
              </w:rPr>
            </w:pPr>
            <w:r w:rsidRPr="00636F9A">
              <w:rPr>
                <w:rFonts w:ascii="Aptos" w:eastAsia="Aptos" w:hAnsi="Aptos" w:cs="Arial"/>
                <w:sz w:val="24"/>
                <w:szCs w:val="24"/>
              </w:rPr>
              <w:t>17.6</w:t>
            </w:r>
          </w:p>
        </w:tc>
      </w:tr>
      <w:tr w:rsidR="00013B5D" w:rsidRPr="00636F9A" w14:paraId="299ECE1B" w14:textId="77777777" w:rsidTr="001F29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11B6C19E" w14:textId="77777777" w:rsidR="00013B5D" w:rsidRPr="00636F9A" w:rsidRDefault="00013B5D" w:rsidP="00805986">
            <w:pPr>
              <w:rPr>
                <w:rFonts w:ascii="Aptos" w:eastAsia="Aptos" w:hAnsi="Aptos" w:cs="Arial"/>
                <w:sz w:val="24"/>
                <w:szCs w:val="24"/>
              </w:rPr>
            </w:pPr>
            <w:r w:rsidRPr="00636F9A">
              <w:rPr>
                <w:rFonts w:ascii="Aptos" w:eastAsia="Aptos" w:hAnsi="Aptos" w:cs="Arial"/>
                <w:sz w:val="24"/>
                <w:szCs w:val="24"/>
              </w:rPr>
              <w:t>51-60</w:t>
            </w:r>
          </w:p>
        </w:tc>
        <w:tc>
          <w:tcPr>
            <w:tcW w:w="2091" w:type="dxa"/>
          </w:tcPr>
          <w:p w14:paraId="2B2E934E" w14:textId="77777777" w:rsidR="00013B5D" w:rsidRPr="00636F9A" w:rsidRDefault="00013B5D" w:rsidP="00805986">
            <w:pPr>
              <w:cnfStyle w:val="000000100000" w:firstRow="0" w:lastRow="0" w:firstColumn="0" w:lastColumn="0" w:oddVBand="0" w:evenVBand="0" w:oddHBand="1" w:evenHBand="0" w:firstRowFirstColumn="0" w:firstRowLastColumn="0" w:lastRowFirstColumn="0" w:lastRowLastColumn="0"/>
              <w:rPr>
                <w:rFonts w:ascii="Aptos" w:eastAsia="Aptos" w:hAnsi="Aptos" w:cs="Arial"/>
                <w:sz w:val="24"/>
                <w:szCs w:val="24"/>
              </w:rPr>
            </w:pPr>
            <w:r w:rsidRPr="00636F9A">
              <w:rPr>
                <w:rFonts w:ascii="Aptos" w:eastAsia="Aptos" w:hAnsi="Aptos" w:cs="Arial"/>
                <w:sz w:val="24"/>
                <w:szCs w:val="24"/>
              </w:rPr>
              <w:t>23.5</w:t>
            </w:r>
          </w:p>
        </w:tc>
        <w:tc>
          <w:tcPr>
            <w:tcW w:w="2091" w:type="dxa"/>
          </w:tcPr>
          <w:p w14:paraId="34D5E710" w14:textId="77777777" w:rsidR="00013B5D" w:rsidRPr="00636F9A" w:rsidRDefault="00013B5D" w:rsidP="00805986">
            <w:pPr>
              <w:cnfStyle w:val="000000100000" w:firstRow="0" w:lastRow="0" w:firstColumn="0" w:lastColumn="0" w:oddVBand="0" w:evenVBand="0" w:oddHBand="1" w:evenHBand="0" w:firstRowFirstColumn="0" w:firstRowLastColumn="0" w:lastRowFirstColumn="0" w:lastRowLastColumn="0"/>
              <w:rPr>
                <w:rFonts w:ascii="Aptos" w:eastAsia="Aptos" w:hAnsi="Aptos" w:cs="Arial"/>
                <w:sz w:val="24"/>
                <w:szCs w:val="24"/>
              </w:rPr>
            </w:pPr>
            <w:r>
              <w:rPr>
                <w:rFonts w:ascii="Aptos" w:eastAsia="Aptos" w:hAnsi="Aptos" w:cs="Arial"/>
                <w:sz w:val="24"/>
                <w:szCs w:val="24"/>
              </w:rPr>
              <w:t>28.6</w:t>
            </w:r>
          </w:p>
        </w:tc>
        <w:tc>
          <w:tcPr>
            <w:tcW w:w="2091" w:type="dxa"/>
          </w:tcPr>
          <w:p w14:paraId="0D0E0E7B" w14:textId="77777777" w:rsidR="00013B5D" w:rsidRPr="00636F9A" w:rsidRDefault="00013B5D" w:rsidP="00805986">
            <w:pPr>
              <w:cnfStyle w:val="000000100000" w:firstRow="0" w:lastRow="0" w:firstColumn="0" w:lastColumn="0" w:oddVBand="0" w:evenVBand="0" w:oddHBand="1" w:evenHBand="0" w:firstRowFirstColumn="0" w:firstRowLastColumn="0" w:lastRowFirstColumn="0" w:lastRowLastColumn="0"/>
              <w:rPr>
                <w:rFonts w:ascii="Aptos" w:eastAsia="Aptos" w:hAnsi="Aptos" w:cs="Arial"/>
                <w:sz w:val="24"/>
                <w:szCs w:val="24"/>
              </w:rPr>
            </w:pPr>
            <w:r w:rsidRPr="00636F9A">
              <w:rPr>
                <w:rFonts w:ascii="Aptos" w:eastAsia="Aptos" w:hAnsi="Aptos" w:cs="Arial"/>
                <w:sz w:val="24"/>
                <w:szCs w:val="24"/>
              </w:rPr>
              <w:t>27.</w:t>
            </w:r>
            <w:r>
              <w:rPr>
                <w:rFonts w:ascii="Aptos" w:eastAsia="Aptos" w:hAnsi="Aptos" w:cs="Arial"/>
                <w:sz w:val="24"/>
                <w:szCs w:val="24"/>
              </w:rPr>
              <w:t>2</w:t>
            </w:r>
          </w:p>
        </w:tc>
        <w:tc>
          <w:tcPr>
            <w:tcW w:w="2091" w:type="dxa"/>
          </w:tcPr>
          <w:p w14:paraId="6F4E4AF7" w14:textId="77777777" w:rsidR="00013B5D" w:rsidRPr="00636F9A" w:rsidRDefault="00013B5D" w:rsidP="00805986">
            <w:pPr>
              <w:cnfStyle w:val="000000100000" w:firstRow="0" w:lastRow="0" w:firstColumn="0" w:lastColumn="0" w:oddVBand="0" w:evenVBand="0" w:oddHBand="1" w:evenHBand="0" w:firstRowFirstColumn="0" w:firstRowLastColumn="0" w:lastRowFirstColumn="0" w:lastRowLastColumn="0"/>
              <w:rPr>
                <w:rFonts w:ascii="Aptos" w:eastAsia="Aptos" w:hAnsi="Aptos" w:cs="Arial"/>
                <w:sz w:val="24"/>
                <w:szCs w:val="24"/>
              </w:rPr>
            </w:pPr>
            <w:r w:rsidRPr="00636F9A">
              <w:rPr>
                <w:rFonts w:ascii="Aptos" w:eastAsia="Aptos" w:hAnsi="Aptos" w:cs="Arial"/>
                <w:sz w:val="24"/>
                <w:szCs w:val="24"/>
              </w:rPr>
              <w:t>25.9</w:t>
            </w:r>
          </w:p>
        </w:tc>
      </w:tr>
      <w:tr w:rsidR="00013B5D" w:rsidRPr="00636F9A" w14:paraId="24F43E74" w14:textId="77777777" w:rsidTr="001F292C">
        <w:tc>
          <w:tcPr>
            <w:cnfStyle w:val="001000000000" w:firstRow="0" w:lastRow="0" w:firstColumn="1" w:lastColumn="0" w:oddVBand="0" w:evenVBand="0" w:oddHBand="0" w:evenHBand="0" w:firstRowFirstColumn="0" w:firstRowLastColumn="0" w:lastRowFirstColumn="0" w:lastRowLastColumn="0"/>
            <w:tcW w:w="1696" w:type="dxa"/>
          </w:tcPr>
          <w:p w14:paraId="4C55BCB2" w14:textId="77777777" w:rsidR="00013B5D" w:rsidRPr="00636F9A" w:rsidRDefault="00013B5D" w:rsidP="00805986">
            <w:pPr>
              <w:rPr>
                <w:rFonts w:ascii="Aptos" w:eastAsia="Aptos" w:hAnsi="Aptos" w:cs="Arial"/>
                <w:sz w:val="24"/>
                <w:szCs w:val="24"/>
              </w:rPr>
            </w:pPr>
            <w:r w:rsidRPr="00636F9A">
              <w:rPr>
                <w:rFonts w:ascii="Aptos" w:eastAsia="Aptos" w:hAnsi="Aptos" w:cs="Arial"/>
                <w:sz w:val="24"/>
                <w:szCs w:val="24"/>
              </w:rPr>
              <w:t>61-70</w:t>
            </w:r>
          </w:p>
        </w:tc>
        <w:tc>
          <w:tcPr>
            <w:tcW w:w="2091" w:type="dxa"/>
          </w:tcPr>
          <w:p w14:paraId="1034DF2B" w14:textId="77777777" w:rsidR="00013B5D" w:rsidRPr="00636F9A" w:rsidRDefault="00013B5D" w:rsidP="00805986">
            <w:pPr>
              <w:cnfStyle w:val="000000000000" w:firstRow="0" w:lastRow="0" w:firstColumn="0" w:lastColumn="0" w:oddVBand="0" w:evenVBand="0" w:oddHBand="0" w:evenHBand="0" w:firstRowFirstColumn="0" w:firstRowLastColumn="0" w:lastRowFirstColumn="0" w:lastRowLastColumn="0"/>
              <w:rPr>
                <w:rFonts w:ascii="Aptos" w:eastAsia="Aptos" w:hAnsi="Aptos" w:cs="Arial"/>
                <w:sz w:val="24"/>
                <w:szCs w:val="24"/>
              </w:rPr>
            </w:pPr>
            <w:r w:rsidRPr="00636F9A">
              <w:rPr>
                <w:rFonts w:ascii="Aptos" w:eastAsia="Aptos" w:hAnsi="Aptos" w:cs="Arial"/>
                <w:sz w:val="24"/>
                <w:szCs w:val="24"/>
              </w:rPr>
              <w:t>12.1</w:t>
            </w:r>
          </w:p>
        </w:tc>
        <w:tc>
          <w:tcPr>
            <w:tcW w:w="2091" w:type="dxa"/>
          </w:tcPr>
          <w:p w14:paraId="57623AAE" w14:textId="77777777" w:rsidR="00013B5D" w:rsidRPr="00636F9A" w:rsidRDefault="00013B5D" w:rsidP="00805986">
            <w:pPr>
              <w:cnfStyle w:val="000000000000" w:firstRow="0" w:lastRow="0" w:firstColumn="0" w:lastColumn="0" w:oddVBand="0" w:evenVBand="0" w:oddHBand="0" w:evenHBand="0" w:firstRowFirstColumn="0" w:firstRowLastColumn="0" w:lastRowFirstColumn="0" w:lastRowLastColumn="0"/>
              <w:rPr>
                <w:rFonts w:ascii="Aptos" w:eastAsia="Aptos" w:hAnsi="Aptos" w:cs="Arial"/>
                <w:sz w:val="24"/>
                <w:szCs w:val="24"/>
              </w:rPr>
            </w:pPr>
            <w:r w:rsidRPr="00636F9A">
              <w:rPr>
                <w:rFonts w:ascii="Aptos" w:eastAsia="Aptos" w:hAnsi="Aptos" w:cs="Arial"/>
                <w:sz w:val="24"/>
                <w:szCs w:val="24"/>
              </w:rPr>
              <w:t>32.</w:t>
            </w:r>
            <w:r>
              <w:rPr>
                <w:rFonts w:ascii="Aptos" w:eastAsia="Aptos" w:hAnsi="Aptos" w:cs="Arial"/>
                <w:sz w:val="24"/>
                <w:szCs w:val="24"/>
              </w:rPr>
              <w:t>7</w:t>
            </w:r>
          </w:p>
        </w:tc>
        <w:tc>
          <w:tcPr>
            <w:tcW w:w="2091" w:type="dxa"/>
          </w:tcPr>
          <w:p w14:paraId="6E71F8AE" w14:textId="77777777" w:rsidR="00013B5D" w:rsidRPr="00636F9A" w:rsidRDefault="00013B5D" w:rsidP="00805986">
            <w:pPr>
              <w:cnfStyle w:val="000000000000" w:firstRow="0" w:lastRow="0" w:firstColumn="0" w:lastColumn="0" w:oddVBand="0" w:evenVBand="0" w:oddHBand="0" w:evenHBand="0" w:firstRowFirstColumn="0" w:firstRowLastColumn="0" w:lastRowFirstColumn="0" w:lastRowLastColumn="0"/>
              <w:rPr>
                <w:rFonts w:ascii="Aptos" w:eastAsia="Aptos" w:hAnsi="Aptos" w:cs="Arial"/>
                <w:sz w:val="24"/>
                <w:szCs w:val="24"/>
              </w:rPr>
            </w:pPr>
            <w:r w:rsidRPr="00636F9A">
              <w:rPr>
                <w:rFonts w:ascii="Aptos" w:eastAsia="Aptos" w:hAnsi="Aptos" w:cs="Arial"/>
                <w:sz w:val="24"/>
                <w:szCs w:val="24"/>
              </w:rPr>
              <w:t>39.</w:t>
            </w:r>
            <w:r>
              <w:rPr>
                <w:rFonts w:ascii="Aptos" w:eastAsia="Aptos" w:hAnsi="Aptos" w:cs="Arial"/>
                <w:sz w:val="24"/>
                <w:szCs w:val="24"/>
              </w:rPr>
              <w:t>7</w:t>
            </w:r>
          </w:p>
        </w:tc>
        <w:tc>
          <w:tcPr>
            <w:tcW w:w="2091" w:type="dxa"/>
          </w:tcPr>
          <w:p w14:paraId="255E1264" w14:textId="77777777" w:rsidR="00013B5D" w:rsidRPr="00636F9A" w:rsidRDefault="00013B5D" w:rsidP="00805986">
            <w:pPr>
              <w:cnfStyle w:val="000000000000" w:firstRow="0" w:lastRow="0" w:firstColumn="0" w:lastColumn="0" w:oddVBand="0" w:evenVBand="0" w:oddHBand="0" w:evenHBand="0" w:firstRowFirstColumn="0" w:firstRowLastColumn="0" w:lastRowFirstColumn="0" w:lastRowLastColumn="0"/>
              <w:rPr>
                <w:rFonts w:ascii="Aptos" w:eastAsia="Aptos" w:hAnsi="Aptos" w:cs="Arial"/>
                <w:sz w:val="24"/>
                <w:szCs w:val="24"/>
              </w:rPr>
            </w:pPr>
            <w:r w:rsidRPr="00636F9A">
              <w:rPr>
                <w:rFonts w:ascii="Aptos" w:eastAsia="Aptos" w:hAnsi="Aptos" w:cs="Arial"/>
                <w:sz w:val="24"/>
                <w:szCs w:val="24"/>
              </w:rPr>
              <w:t>22.2</w:t>
            </w:r>
          </w:p>
        </w:tc>
      </w:tr>
      <w:tr w:rsidR="00013B5D" w:rsidRPr="00636F9A" w14:paraId="35B376D0" w14:textId="77777777" w:rsidTr="001F29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490C9D7D" w14:textId="77777777" w:rsidR="00013B5D" w:rsidRPr="00636F9A" w:rsidRDefault="00013B5D" w:rsidP="00805986">
            <w:pPr>
              <w:rPr>
                <w:rFonts w:ascii="Aptos" w:eastAsia="Aptos" w:hAnsi="Aptos" w:cs="Arial"/>
                <w:sz w:val="24"/>
                <w:szCs w:val="24"/>
              </w:rPr>
            </w:pPr>
            <w:r w:rsidRPr="00636F9A">
              <w:rPr>
                <w:rFonts w:ascii="Aptos" w:eastAsia="Aptos" w:hAnsi="Aptos" w:cs="Arial"/>
                <w:sz w:val="24"/>
                <w:szCs w:val="24"/>
              </w:rPr>
              <w:t>Over 70</w:t>
            </w:r>
          </w:p>
        </w:tc>
        <w:tc>
          <w:tcPr>
            <w:tcW w:w="2091" w:type="dxa"/>
          </w:tcPr>
          <w:p w14:paraId="0402AAD7" w14:textId="77777777" w:rsidR="00013B5D" w:rsidRPr="00636F9A" w:rsidRDefault="00013B5D" w:rsidP="00805986">
            <w:pPr>
              <w:cnfStyle w:val="000000100000" w:firstRow="0" w:lastRow="0" w:firstColumn="0" w:lastColumn="0" w:oddVBand="0" w:evenVBand="0" w:oddHBand="1" w:evenHBand="0" w:firstRowFirstColumn="0" w:firstRowLastColumn="0" w:lastRowFirstColumn="0" w:lastRowLastColumn="0"/>
              <w:rPr>
                <w:rFonts w:ascii="Aptos" w:eastAsia="Aptos" w:hAnsi="Aptos" w:cs="Arial"/>
                <w:sz w:val="24"/>
                <w:szCs w:val="24"/>
              </w:rPr>
            </w:pPr>
            <w:r w:rsidRPr="00636F9A">
              <w:rPr>
                <w:rFonts w:ascii="Aptos" w:eastAsia="Aptos" w:hAnsi="Aptos" w:cs="Arial"/>
                <w:sz w:val="24"/>
                <w:szCs w:val="24"/>
              </w:rPr>
              <w:t>1.3</w:t>
            </w:r>
          </w:p>
        </w:tc>
        <w:tc>
          <w:tcPr>
            <w:tcW w:w="2091" w:type="dxa"/>
          </w:tcPr>
          <w:p w14:paraId="7560B931" w14:textId="77777777" w:rsidR="00013B5D" w:rsidRPr="00636F9A" w:rsidRDefault="00013B5D" w:rsidP="00805986">
            <w:pPr>
              <w:cnfStyle w:val="000000100000" w:firstRow="0" w:lastRow="0" w:firstColumn="0" w:lastColumn="0" w:oddVBand="0" w:evenVBand="0" w:oddHBand="1" w:evenHBand="0" w:firstRowFirstColumn="0" w:firstRowLastColumn="0" w:lastRowFirstColumn="0" w:lastRowLastColumn="0"/>
              <w:rPr>
                <w:rFonts w:ascii="Aptos" w:eastAsia="Aptos" w:hAnsi="Aptos" w:cs="Arial"/>
                <w:sz w:val="24"/>
                <w:szCs w:val="24"/>
              </w:rPr>
            </w:pPr>
            <w:r w:rsidRPr="00636F9A">
              <w:rPr>
                <w:rFonts w:ascii="Aptos" w:eastAsia="Aptos" w:hAnsi="Aptos" w:cs="Arial"/>
                <w:sz w:val="24"/>
                <w:szCs w:val="24"/>
              </w:rPr>
              <w:t>3.</w:t>
            </w:r>
            <w:r>
              <w:rPr>
                <w:rFonts w:ascii="Aptos" w:eastAsia="Aptos" w:hAnsi="Aptos" w:cs="Arial"/>
                <w:sz w:val="24"/>
                <w:szCs w:val="24"/>
              </w:rPr>
              <w:t>3</w:t>
            </w:r>
          </w:p>
        </w:tc>
        <w:tc>
          <w:tcPr>
            <w:tcW w:w="2091" w:type="dxa"/>
          </w:tcPr>
          <w:p w14:paraId="1AAD8AC2" w14:textId="77777777" w:rsidR="00013B5D" w:rsidRPr="00636F9A" w:rsidRDefault="00013B5D" w:rsidP="00805986">
            <w:pPr>
              <w:cnfStyle w:val="000000100000" w:firstRow="0" w:lastRow="0" w:firstColumn="0" w:lastColumn="0" w:oddVBand="0" w:evenVBand="0" w:oddHBand="1" w:evenHBand="0" w:firstRowFirstColumn="0" w:firstRowLastColumn="0" w:lastRowFirstColumn="0" w:lastRowLastColumn="0"/>
              <w:rPr>
                <w:rFonts w:ascii="Aptos" w:eastAsia="Aptos" w:hAnsi="Aptos" w:cs="Arial"/>
                <w:sz w:val="24"/>
                <w:szCs w:val="24"/>
              </w:rPr>
            </w:pPr>
            <w:r w:rsidRPr="00636F9A">
              <w:rPr>
                <w:rFonts w:ascii="Aptos" w:eastAsia="Aptos" w:hAnsi="Aptos" w:cs="Arial"/>
                <w:sz w:val="24"/>
                <w:szCs w:val="24"/>
              </w:rPr>
              <w:t>4.2</w:t>
            </w:r>
          </w:p>
        </w:tc>
        <w:tc>
          <w:tcPr>
            <w:tcW w:w="2091" w:type="dxa"/>
          </w:tcPr>
          <w:p w14:paraId="0EB0F4FE" w14:textId="77777777" w:rsidR="00013B5D" w:rsidRPr="00636F9A" w:rsidRDefault="00013B5D" w:rsidP="00805986">
            <w:pPr>
              <w:cnfStyle w:val="000000100000" w:firstRow="0" w:lastRow="0" w:firstColumn="0" w:lastColumn="0" w:oddVBand="0" w:evenVBand="0" w:oddHBand="1" w:evenHBand="0" w:firstRowFirstColumn="0" w:firstRowLastColumn="0" w:lastRowFirstColumn="0" w:lastRowLastColumn="0"/>
              <w:rPr>
                <w:rFonts w:ascii="Aptos" w:eastAsia="Aptos" w:hAnsi="Aptos" w:cs="Arial"/>
                <w:sz w:val="24"/>
                <w:szCs w:val="24"/>
              </w:rPr>
            </w:pPr>
            <w:r w:rsidRPr="00636F9A">
              <w:rPr>
                <w:rFonts w:ascii="Aptos" w:eastAsia="Aptos" w:hAnsi="Aptos" w:cs="Arial"/>
                <w:sz w:val="24"/>
                <w:szCs w:val="24"/>
              </w:rPr>
              <w:t>2.8</w:t>
            </w:r>
          </w:p>
        </w:tc>
      </w:tr>
    </w:tbl>
    <w:p w14:paraId="40E1C86D" w14:textId="77777777" w:rsidR="00013B5D" w:rsidRPr="00636F9A" w:rsidRDefault="00013B5D" w:rsidP="00013B5D">
      <w:pPr>
        <w:rPr>
          <w:rFonts w:ascii="Aptos" w:eastAsia="Aptos" w:hAnsi="Aptos" w:cs="Arial"/>
          <w:sz w:val="24"/>
          <w:szCs w:val="24"/>
        </w:rPr>
      </w:pPr>
    </w:p>
    <w:p w14:paraId="30D2E6A6" w14:textId="77777777" w:rsidR="00013B5D" w:rsidRPr="00636F9A" w:rsidRDefault="00013B5D" w:rsidP="00013B5D">
      <w:pPr>
        <w:rPr>
          <w:rFonts w:ascii="Aptos" w:eastAsia="Aptos" w:hAnsi="Aptos" w:cs="Arial"/>
          <w:sz w:val="24"/>
          <w:szCs w:val="24"/>
        </w:rPr>
      </w:pPr>
      <w:r w:rsidRPr="00636F9A">
        <w:rPr>
          <w:rFonts w:ascii="Aptos" w:eastAsia="Aptos" w:hAnsi="Aptos" w:cs="Arial"/>
          <w:sz w:val="24"/>
          <w:szCs w:val="24"/>
        </w:rPr>
        <w:t xml:space="preserve">Although there is a fair age range of applicants for VS, there is a distinct increasing concentration in applications from staff over 51 in age. This is markedly higher for those in the 61-70, who are one fifth higher than the proportion of this age range in the University. This is an unsurprising pattern, as staff who may have considered retirement </w:t>
      </w:r>
      <w:proofErr w:type="gramStart"/>
      <w:r w:rsidRPr="00636F9A">
        <w:rPr>
          <w:rFonts w:ascii="Aptos" w:eastAsia="Aptos" w:hAnsi="Aptos" w:cs="Arial"/>
          <w:sz w:val="24"/>
          <w:szCs w:val="24"/>
        </w:rPr>
        <w:t>in the near future</w:t>
      </w:r>
      <w:proofErr w:type="gramEnd"/>
      <w:r w:rsidRPr="00636F9A">
        <w:rPr>
          <w:rFonts w:ascii="Aptos" w:eastAsia="Aptos" w:hAnsi="Aptos" w:cs="Arial"/>
          <w:sz w:val="24"/>
          <w:szCs w:val="24"/>
        </w:rPr>
        <w:t xml:space="preserve"> would take this type of opportunity. Older staff are more likely to have substantial service years, which would also make the VS payment more appealing.</w:t>
      </w:r>
    </w:p>
    <w:p w14:paraId="25E73B1C" w14:textId="77777777" w:rsidR="00013B5D" w:rsidRPr="00636F9A" w:rsidRDefault="00013B5D" w:rsidP="00013B5D">
      <w:pPr>
        <w:rPr>
          <w:rFonts w:ascii="Aptos" w:eastAsia="Aptos" w:hAnsi="Aptos" w:cs="Arial"/>
          <w:sz w:val="24"/>
          <w:szCs w:val="24"/>
        </w:rPr>
      </w:pPr>
      <w:r w:rsidRPr="00636F9A">
        <w:rPr>
          <w:rFonts w:ascii="Aptos" w:eastAsia="Aptos" w:hAnsi="Aptos" w:cs="Arial"/>
          <w:sz w:val="24"/>
          <w:szCs w:val="24"/>
        </w:rPr>
        <w:t xml:space="preserve">When considering the approvals and rejections, approval rates were higher for those in the 51+ age ranges, and rejections were higher in in the 21-50 age range. </w:t>
      </w:r>
    </w:p>
    <w:p w14:paraId="32D35B9E" w14:textId="77777777" w:rsidR="00013B5D" w:rsidRPr="00636F9A" w:rsidRDefault="00013B5D" w:rsidP="00013B5D">
      <w:pPr>
        <w:keepNext/>
        <w:keepLines/>
        <w:spacing w:before="80" w:after="40"/>
        <w:outlineLvl w:val="4"/>
        <w:rPr>
          <w:rFonts w:ascii="Aptos" w:eastAsia="Yu Gothic Light" w:hAnsi="Aptos" w:cs="Times New Roman"/>
          <w:color w:val="0F4761"/>
        </w:rPr>
      </w:pPr>
      <w:r w:rsidRPr="00636F9A">
        <w:rPr>
          <w:rFonts w:ascii="Aptos" w:eastAsia="Yu Gothic Light" w:hAnsi="Aptos" w:cs="Times New Roman"/>
          <w:color w:val="0F4761"/>
        </w:rPr>
        <w:t>4.2 Disability</w:t>
      </w:r>
    </w:p>
    <w:p w14:paraId="716E89F2" w14:textId="77777777" w:rsidR="00013B5D" w:rsidRPr="00636F9A" w:rsidRDefault="00013B5D" w:rsidP="00013B5D">
      <w:pPr>
        <w:rPr>
          <w:rFonts w:ascii="Aptos" w:eastAsia="Aptos" w:hAnsi="Aptos" w:cs="Arial"/>
          <w:sz w:val="24"/>
          <w:szCs w:val="24"/>
        </w:rPr>
      </w:pPr>
      <w:r w:rsidRPr="00636F9A">
        <w:rPr>
          <w:rFonts w:ascii="Aptos" w:eastAsia="Aptos" w:hAnsi="Aptos" w:cs="Arial"/>
          <w:sz w:val="24"/>
          <w:szCs w:val="24"/>
        </w:rPr>
        <w:t>Table 2 shows the percentage of each those with a declared disability for the University, compared to the VS applicants, Approved and Rejected.</w:t>
      </w:r>
    </w:p>
    <w:tbl>
      <w:tblPr>
        <w:tblStyle w:val="GridTable5Dark-Accent12"/>
        <w:tblW w:w="0" w:type="auto"/>
        <w:tblLook w:val="04A0" w:firstRow="1" w:lastRow="0" w:firstColumn="1" w:lastColumn="0" w:noHBand="0" w:noVBand="1"/>
      </w:tblPr>
      <w:tblGrid>
        <w:gridCol w:w="2547"/>
        <w:gridCol w:w="1843"/>
        <w:gridCol w:w="1984"/>
        <w:gridCol w:w="1984"/>
        <w:gridCol w:w="1984"/>
      </w:tblGrid>
      <w:tr w:rsidR="00013B5D" w:rsidRPr="00636F9A" w14:paraId="7758D99B" w14:textId="77777777" w:rsidTr="008059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8AF090B" w14:textId="77777777" w:rsidR="00013B5D" w:rsidRPr="00636F9A" w:rsidRDefault="00013B5D" w:rsidP="00805986">
            <w:pPr>
              <w:rPr>
                <w:rFonts w:ascii="Aptos" w:eastAsia="Aptos" w:hAnsi="Aptos" w:cs="Arial"/>
                <w:sz w:val="24"/>
                <w:szCs w:val="24"/>
              </w:rPr>
            </w:pPr>
            <w:r w:rsidRPr="00636F9A">
              <w:rPr>
                <w:rFonts w:ascii="Aptos" w:eastAsia="Aptos" w:hAnsi="Aptos" w:cs="Arial"/>
                <w:sz w:val="24"/>
                <w:szCs w:val="24"/>
              </w:rPr>
              <w:t>Disability</w:t>
            </w:r>
          </w:p>
        </w:tc>
        <w:tc>
          <w:tcPr>
            <w:tcW w:w="1843" w:type="dxa"/>
          </w:tcPr>
          <w:p w14:paraId="2DFAB5DA" w14:textId="77777777" w:rsidR="00013B5D" w:rsidRPr="00636F9A" w:rsidRDefault="00013B5D" w:rsidP="00805986">
            <w:pPr>
              <w:cnfStyle w:val="100000000000" w:firstRow="1" w:lastRow="0" w:firstColumn="0" w:lastColumn="0" w:oddVBand="0" w:evenVBand="0" w:oddHBand="0" w:evenHBand="0" w:firstRowFirstColumn="0" w:firstRowLastColumn="0" w:lastRowFirstColumn="0" w:lastRowLastColumn="0"/>
              <w:rPr>
                <w:rFonts w:ascii="Aptos" w:eastAsia="Aptos" w:hAnsi="Aptos" w:cs="Arial"/>
                <w:sz w:val="24"/>
                <w:szCs w:val="24"/>
              </w:rPr>
            </w:pPr>
            <w:r w:rsidRPr="00636F9A">
              <w:rPr>
                <w:rFonts w:ascii="Aptos" w:eastAsia="Aptos" w:hAnsi="Aptos" w:cs="Arial"/>
                <w:sz w:val="24"/>
                <w:szCs w:val="24"/>
              </w:rPr>
              <w:t>University %</w:t>
            </w:r>
          </w:p>
        </w:tc>
        <w:tc>
          <w:tcPr>
            <w:tcW w:w="1984" w:type="dxa"/>
          </w:tcPr>
          <w:p w14:paraId="061F3148" w14:textId="77777777" w:rsidR="00013B5D" w:rsidRPr="00636F9A" w:rsidRDefault="00013B5D" w:rsidP="00805986">
            <w:pPr>
              <w:cnfStyle w:val="100000000000" w:firstRow="1" w:lastRow="0" w:firstColumn="0" w:lastColumn="0" w:oddVBand="0" w:evenVBand="0" w:oddHBand="0" w:evenHBand="0" w:firstRowFirstColumn="0" w:firstRowLastColumn="0" w:lastRowFirstColumn="0" w:lastRowLastColumn="0"/>
              <w:rPr>
                <w:rFonts w:ascii="Aptos" w:eastAsia="Aptos" w:hAnsi="Aptos" w:cs="Arial"/>
                <w:sz w:val="24"/>
                <w:szCs w:val="24"/>
              </w:rPr>
            </w:pPr>
            <w:r w:rsidRPr="00636F9A">
              <w:rPr>
                <w:rFonts w:ascii="Aptos" w:eastAsia="Aptos" w:hAnsi="Aptos" w:cs="Arial"/>
                <w:sz w:val="24"/>
                <w:szCs w:val="24"/>
              </w:rPr>
              <w:t>VS Applicant %</w:t>
            </w:r>
          </w:p>
        </w:tc>
        <w:tc>
          <w:tcPr>
            <w:tcW w:w="1984" w:type="dxa"/>
          </w:tcPr>
          <w:p w14:paraId="75B25CC3" w14:textId="77777777" w:rsidR="00013B5D" w:rsidRPr="00636F9A" w:rsidRDefault="00013B5D" w:rsidP="00805986">
            <w:pPr>
              <w:cnfStyle w:val="100000000000" w:firstRow="1" w:lastRow="0" w:firstColumn="0" w:lastColumn="0" w:oddVBand="0" w:evenVBand="0" w:oddHBand="0" w:evenHBand="0" w:firstRowFirstColumn="0" w:firstRowLastColumn="0" w:lastRowFirstColumn="0" w:lastRowLastColumn="0"/>
              <w:rPr>
                <w:rFonts w:ascii="Aptos" w:eastAsia="Aptos" w:hAnsi="Aptos" w:cs="Arial"/>
                <w:sz w:val="24"/>
                <w:szCs w:val="24"/>
              </w:rPr>
            </w:pPr>
            <w:r w:rsidRPr="00636F9A">
              <w:rPr>
                <w:rFonts w:ascii="Aptos" w:eastAsia="Aptos" w:hAnsi="Aptos" w:cs="Arial"/>
                <w:sz w:val="24"/>
                <w:szCs w:val="24"/>
              </w:rPr>
              <w:t>% Approved</w:t>
            </w:r>
          </w:p>
        </w:tc>
        <w:tc>
          <w:tcPr>
            <w:tcW w:w="1984" w:type="dxa"/>
          </w:tcPr>
          <w:p w14:paraId="569D9B3A" w14:textId="77777777" w:rsidR="00013B5D" w:rsidRPr="00636F9A" w:rsidRDefault="00013B5D" w:rsidP="00805986">
            <w:pPr>
              <w:cnfStyle w:val="100000000000" w:firstRow="1" w:lastRow="0" w:firstColumn="0" w:lastColumn="0" w:oddVBand="0" w:evenVBand="0" w:oddHBand="0" w:evenHBand="0" w:firstRowFirstColumn="0" w:firstRowLastColumn="0" w:lastRowFirstColumn="0" w:lastRowLastColumn="0"/>
              <w:rPr>
                <w:rFonts w:ascii="Aptos" w:eastAsia="Aptos" w:hAnsi="Aptos" w:cs="Arial"/>
                <w:sz w:val="24"/>
                <w:szCs w:val="24"/>
              </w:rPr>
            </w:pPr>
            <w:r w:rsidRPr="00636F9A">
              <w:rPr>
                <w:rFonts w:ascii="Aptos" w:eastAsia="Aptos" w:hAnsi="Aptos" w:cs="Arial"/>
                <w:sz w:val="24"/>
                <w:szCs w:val="24"/>
              </w:rPr>
              <w:t>% Rejected</w:t>
            </w:r>
          </w:p>
        </w:tc>
      </w:tr>
      <w:tr w:rsidR="00013B5D" w:rsidRPr="00636F9A" w14:paraId="07894E20" w14:textId="77777777" w:rsidTr="008059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6A111D6" w14:textId="77777777" w:rsidR="00013B5D" w:rsidRPr="00636F9A" w:rsidRDefault="00013B5D" w:rsidP="00805986">
            <w:pPr>
              <w:rPr>
                <w:rFonts w:ascii="Aptos" w:eastAsia="Aptos" w:hAnsi="Aptos" w:cs="Arial"/>
                <w:sz w:val="24"/>
                <w:szCs w:val="24"/>
              </w:rPr>
            </w:pPr>
            <w:r w:rsidRPr="00636F9A">
              <w:rPr>
                <w:rFonts w:ascii="Aptos" w:eastAsia="Aptos" w:hAnsi="Aptos" w:cs="Arial"/>
                <w:sz w:val="24"/>
                <w:szCs w:val="24"/>
              </w:rPr>
              <w:t>Disclosed disability</w:t>
            </w:r>
          </w:p>
        </w:tc>
        <w:tc>
          <w:tcPr>
            <w:tcW w:w="1843" w:type="dxa"/>
          </w:tcPr>
          <w:p w14:paraId="0C360268" w14:textId="77777777" w:rsidR="00013B5D" w:rsidRPr="00636F9A" w:rsidRDefault="00013B5D" w:rsidP="00805986">
            <w:pPr>
              <w:cnfStyle w:val="000000100000" w:firstRow="0" w:lastRow="0" w:firstColumn="0" w:lastColumn="0" w:oddVBand="0" w:evenVBand="0" w:oddHBand="1" w:evenHBand="0" w:firstRowFirstColumn="0" w:firstRowLastColumn="0" w:lastRowFirstColumn="0" w:lastRowLastColumn="0"/>
              <w:rPr>
                <w:rFonts w:ascii="Aptos" w:eastAsia="Aptos" w:hAnsi="Aptos" w:cs="Arial"/>
                <w:sz w:val="24"/>
                <w:szCs w:val="24"/>
              </w:rPr>
            </w:pPr>
            <w:r w:rsidRPr="00636F9A">
              <w:rPr>
                <w:rFonts w:ascii="Aptos" w:eastAsia="Aptos" w:hAnsi="Aptos" w:cs="Arial"/>
                <w:sz w:val="24"/>
                <w:szCs w:val="24"/>
              </w:rPr>
              <w:t>6.4</w:t>
            </w:r>
          </w:p>
        </w:tc>
        <w:tc>
          <w:tcPr>
            <w:tcW w:w="1984" w:type="dxa"/>
          </w:tcPr>
          <w:p w14:paraId="0F070416" w14:textId="77777777" w:rsidR="00013B5D" w:rsidRPr="00636F9A" w:rsidRDefault="00013B5D" w:rsidP="00805986">
            <w:pPr>
              <w:cnfStyle w:val="000000100000" w:firstRow="0" w:lastRow="0" w:firstColumn="0" w:lastColumn="0" w:oddVBand="0" w:evenVBand="0" w:oddHBand="1" w:evenHBand="0" w:firstRowFirstColumn="0" w:firstRowLastColumn="0" w:lastRowFirstColumn="0" w:lastRowLastColumn="0"/>
              <w:rPr>
                <w:rFonts w:ascii="Aptos" w:eastAsia="Aptos" w:hAnsi="Aptos" w:cs="Arial"/>
                <w:sz w:val="24"/>
                <w:szCs w:val="24"/>
              </w:rPr>
            </w:pPr>
            <w:r>
              <w:rPr>
                <w:rFonts w:ascii="Aptos" w:eastAsia="Aptos" w:hAnsi="Aptos" w:cs="Arial"/>
                <w:sz w:val="24"/>
                <w:szCs w:val="24"/>
              </w:rPr>
              <w:t>6.9</w:t>
            </w:r>
          </w:p>
        </w:tc>
        <w:tc>
          <w:tcPr>
            <w:tcW w:w="1984" w:type="dxa"/>
          </w:tcPr>
          <w:p w14:paraId="1B346B3A" w14:textId="77777777" w:rsidR="00013B5D" w:rsidRPr="00636F9A" w:rsidRDefault="00013B5D" w:rsidP="00805986">
            <w:pPr>
              <w:jc w:val="both"/>
              <w:cnfStyle w:val="000000100000" w:firstRow="0" w:lastRow="0" w:firstColumn="0" w:lastColumn="0" w:oddVBand="0" w:evenVBand="0" w:oddHBand="1" w:evenHBand="0" w:firstRowFirstColumn="0" w:firstRowLastColumn="0" w:lastRowFirstColumn="0" w:lastRowLastColumn="0"/>
              <w:rPr>
                <w:rFonts w:ascii="Aptos" w:eastAsia="Aptos" w:hAnsi="Aptos" w:cs="Arial"/>
                <w:sz w:val="24"/>
                <w:szCs w:val="24"/>
              </w:rPr>
            </w:pPr>
            <w:r w:rsidRPr="00636F9A">
              <w:rPr>
                <w:rFonts w:ascii="Aptos" w:eastAsia="Aptos" w:hAnsi="Aptos" w:cs="Arial"/>
                <w:sz w:val="24"/>
                <w:szCs w:val="24"/>
              </w:rPr>
              <w:t>6.</w:t>
            </w:r>
            <w:r>
              <w:rPr>
                <w:rFonts w:ascii="Aptos" w:eastAsia="Aptos" w:hAnsi="Aptos" w:cs="Arial"/>
                <w:sz w:val="24"/>
                <w:szCs w:val="24"/>
              </w:rPr>
              <w:t>6</w:t>
            </w:r>
          </w:p>
        </w:tc>
        <w:tc>
          <w:tcPr>
            <w:tcW w:w="1984" w:type="dxa"/>
          </w:tcPr>
          <w:p w14:paraId="4502627E" w14:textId="77777777" w:rsidR="00013B5D" w:rsidRPr="00636F9A" w:rsidRDefault="00013B5D" w:rsidP="00805986">
            <w:pPr>
              <w:cnfStyle w:val="000000100000" w:firstRow="0" w:lastRow="0" w:firstColumn="0" w:lastColumn="0" w:oddVBand="0" w:evenVBand="0" w:oddHBand="1" w:evenHBand="0" w:firstRowFirstColumn="0" w:firstRowLastColumn="0" w:lastRowFirstColumn="0" w:lastRowLastColumn="0"/>
              <w:rPr>
                <w:rFonts w:ascii="Aptos" w:eastAsia="Aptos" w:hAnsi="Aptos" w:cs="Arial"/>
                <w:sz w:val="24"/>
                <w:szCs w:val="24"/>
              </w:rPr>
            </w:pPr>
            <w:r w:rsidRPr="00636F9A">
              <w:rPr>
                <w:rFonts w:ascii="Aptos" w:eastAsia="Aptos" w:hAnsi="Aptos" w:cs="Arial"/>
                <w:sz w:val="24"/>
                <w:szCs w:val="24"/>
              </w:rPr>
              <w:t>8.3</w:t>
            </w:r>
          </w:p>
        </w:tc>
      </w:tr>
      <w:tr w:rsidR="00013B5D" w:rsidRPr="00636F9A" w14:paraId="03B45D6F" w14:textId="77777777" w:rsidTr="00805986">
        <w:tc>
          <w:tcPr>
            <w:cnfStyle w:val="001000000000" w:firstRow="0" w:lastRow="0" w:firstColumn="1" w:lastColumn="0" w:oddVBand="0" w:evenVBand="0" w:oddHBand="0" w:evenHBand="0" w:firstRowFirstColumn="0" w:firstRowLastColumn="0" w:lastRowFirstColumn="0" w:lastRowLastColumn="0"/>
            <w:tcW w:w="2547" w:type="dxa"/>
          </w:tcPr>
          <w:p w14:paraId="3986C6A4" w14:textId="77777777" w:rsidR="00013B5D" w:rsidRPr="00636F9A" w:rsidRDefault="00013B5D" w:rsidP="00805986">
            <w:pPr>
              <w:rPr>
                <w:rFonts w:ascii="Aptos" w:eastAsia="Aptos" w:hAnsi="Aptos" w:cs="Arial"/>
                <w:sz w:val="24"/>
                <w:szCs w:val="24"/>
              </w:rPr>
            </w:pPr>
            <w:r w:rsidRPr="00636F9A">
              <w:rPr>
                <w:rFonts w:ascii="Aptos" w:eastAsia="Aptos" w:hAnsi="Aptos" w:cs="Arial"/>
                <w:sz w:val="24"/>
                <w:szCs w:val="24"/>
              </w:rPr>
              <w:t>No Disability</w:t>
            </w:r>
          </w:p>
        </w:tc>
        <w:tc>
          <w:tcPr>
            <w:tcW w:w="1843" w:type="dxa"/>
          </w:tcPr>
          <w:p w14:paraId="027F5115" w14:textId="77777777" w:rsidR="00013B5D" w:rsidRPr="00636F9A" w:rsidRDefault="00013B5D" w:rsidP="00805986">
            <w:pPr>
              <w:cnfStyle w:val="000000000000" w:firstRow="0" w:lastRow="0" w:firstColumn="0" w:lastColumn="0" w:oddVBand="0" w:evenVBand="0" w:oddHBand="0" w:evenHBand="0" w:firstRowFirstColumn="0" w:firstRowLastColumn="0" w:lastRowFirstColumn="0" w:lastRowLastColumn="0"/>
              <w:rPr>
                <w:rFonts w:ascii="Aptos" w:eastAsia="Aptos" w:hAnsi="Aptos" w:cs="Arial"/>
                <w:sz w:val="24"/>
                <w:szCs w:val="24"/>
              </w:rPr>
            </w:pPr>
            <w:r w:rsidRPr="00636F9A">
              <w:rPr>
                <w:rFonts w:ascii="Aptos" w:eastAsia="Aptos" w:hAnsi="Aptos" w:cs="Arial"/>
                <w:sz w:val="24"/>
                <w:szCs w:val="24"/>
              </w:rPr>
              <w:t>79.2</w:t>
            </w:r>
          </w:p>
        </w:tc>
        <w:tc>
          <w:tcPr>
            <w:tcW w:w="1984" w:type="dxa"/>
          </w:tcPr>
          <w:p w14:paraId="69563B63" w14:textId="77777777" w:rsidR="00013B5D" w:rsidRPr="00636F9A" w:rsidRDefault="00013B5D" w:rsidP="00805986">
            <w:pPr>
              <w:cnfStyle w:val="000000000000" w:firstRow="0" w:lastRow="0" w:firstColumn="0" w:lastColumn="0" w:oddVBand="0" w:evenVBand="0" w:oddHBand="0" w:evenHBand="0" w:firstRowFirstColumn="0" w:firstRowLastColumn="0" w:lastRowFirstColumn="0" w:lastRowLastColumn="0"/>
              <w:rPr>
                <w:rFonts w:ascii="Aptos" w:eastAsia="Aptos" w:hAnsi="Aptos" w:cs="Arial"/>
                <w:sz w:val="24"/>
                <w:szCs w:val="24"/>
              </w:rPr>
            </w:pPr>
            <w:r>
              <w:rPr>
                <w:rFonts w:ascii="Aptos" w:eastAsia="Aptos" w:hAnsi="Aptos" w:cs="Arial"/>
                <w:sz w:val="24"/>
                <w:szCs w:val="24"/>
              </w:rPr>
              <w:t>87.7</w:t>
            </w:r>
          </w:p>
        </w:tc>
        <w:tc>
          <w:tcPr>
            <w:tcW w:w="1984" w:type="dxa"/>
          </w:tcPr>
          <w:p w14:paraId="2C313DFA" w14:textId="77777777" w:rsidR="00013B5D" w:rsidRPr="00636F9A" w:rsidRDefault="00013B5D" w:rsidP="00805986">
            <w:pPr>
              <w:cnfStyle w:val="000000000000" w:firstRow="0" w:lastRow="0" w:firstColumn="0" w:lastColumn="0" w:oddVBand="0" w:evenVBand="0" w:oddHBand="0" w:evenHBand="0" w:firstRowFirstColumn="0" w:firstRowLastColumn="0" w:lastRowFirstColumn="0" w:lastRowLastColumn="0"/>
              <w:rPr>
                <w:rFonts w:ascii="Aptos" w:eastAsia="Aptos" w:hAnsi="Aptos" w:cs="Arial"/>
                <w:sz w:val="24"/>
                <w:szCs w:val="24"/>
              </w:rPr>
            </w:pPr>
            <w:r w:rsidRPr="00636F9A">
              <w:rPr>
                <w:rFonts w:ascii="Aptos" w:eastAsia="Aptos" w:hAnsi="Aptos" w:cs="Arial"/>
                <w:sz w:val="24"/>
                <w:szCs w:val="24"/>
              </w:rPr>
              <w:t>88.</w:t>
            </w:r>
            <w:r>
              <w:rPr>
                <w:rFonts w:ascii="Aptos" w:eastAsia="Aptos" w:hAnsi="Aptos" w:cs="Arial"/>
                <w:sz w:val="24"/>
                <w:szCs w:val="24"/>
              </w:rPr>
              <w:t>5</w:t>
            </w:r>
          </w:p>
        </w:tc>
        <w:tc>
          <w:tcPr>
            <w:tcW w:w="1984" w:type="dxa"/>
          </w:tcPr>
          <w:p w14:paraId="782377B5" w14:textId="77777777" w:rsidR="00013B5D" w:rsidRPr="00636F9A" w:rsidRDefault="00013B5D" w:rsidP="00805986">
            <w:pPr>
              <w:cnfStyle w:val="000000000000" w:firstRow="0" w:lastRow="0" w:firstColumn="0" w:lastColumn="0" w:oddVBand="0" w:evenVBand="0" w:oddHBand="0" w:evenHBand="0" w:firstRowFirstColumn="0" w:firstRowLastColumn="0" w:lastRowFirstColumn="0" w:lastRowLastColumn="0"/>
              <w:rPr>
                <w:rFonts w:ascii="Aptos" w:eastAsia="Aptos" w:hAnsi="Aptos" w:cs="Arial"/>
                <w:sz w:val="24"/>
                <w:szCs w:val="24"/>
              </w:rPr>
            </w:pPr>
            <w:r w:rsidRPr="00636F9A">
              <w:rPr>
                <w:rFonts w:ascii="Aptos" w:eastAsia="Aptos" w:hAnsi="Aptos" w:cs="Arial"/>
                <w:sz w:val="24"/>
                <w:szCs w:val="24"/>
              </w:rPr>
              <w:t>81.5</w:t>
            </w:r>
          </w:p>
        </w:tc>
      </w:tr>
      <w:tr w:rsidR="00013B5D" w:rsidRPr="00636F9A" w14:paraId="6D4CBF44" w14:textId="77777777" w:rsidTr="008059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9711669" w14:textId="77777777" w:rsidR="00013B5D" w:rsidRPr="00636F9A" w:rsidRDefault="00013B5D" w:rsidP="00805986">
            <w:pPr>
              <w:rPr>
                <w:rFonts w:ascii="Aptos" w:eastAsia="Aptos" w:hAnsi="Aptos" w:cs="Arial"/>
                <w:sz w:val="24"/>
                <w:szCs w:val="24"/>
              </w:rPr>
            </w:pPr>
            <w:r w:rsidRPr="00636F9A">
              <w:rPr>
                <w:rFonts w:ascii="Aptos" w:eastAsia="Aptos" w:hAnsi="Aptos" w:cs="Arial"/>
                <w:sz w:val="24"/>
                <w:szCs w:val="24"/>
              </w:rPr>
              <w:t>Unknown</w:t>
            </w:r>
          </w:p>
        </w:tc>
        <w:tc>
          <w:tcPr>
            <w:tcW w:w="1843" w:type="dxa"/>
          </w:tcPr>
          <w:p w14:paraId="42757EA1" w14:textId="77777777" w:rsidR="00013B5D" w:rsidRPr="00636F9A" w:rsidRDefault="00013B5D" w:rsidP="00805986">
            <w:pPr>
              <w:cnfStyle w:val="000000100000" w:firstRow="0" w:lastRow="0" w:firstColumn="0" w:lastColumn="0" w:oddVBand="0" w:evenVBand="0" w:oddHBand="1" w:evenHBand="0" w:firstRowFirstColumn="0" w:firstRowLastColumn="0" w:lastRowFirstColumn="0" w:lastRowLastColumn="0"/>
              <w:rPr>
                <w:rFonts w:ascii="Aptos" w:eastAsia="Aptos" w:hAnsi="Aptos" w:cs="Arial"/>
                <w:sz w:val="24"/>
                <w:szCs w:val="24"/>
              </w:rPr>
            </w:pPr>
            <w:r w:rsidRPr="00636F9A">
              <w:rPr>
                <w:rFonts w:ascii="Aptos" w:eastAsia="Aptos" w:hAnsi="Aptos" w:cs="Arial"/>
                <w:sz w:val="24"/>
                <w:szCs w:val="24"/>
              </w:rPr>
              <w:t>14.3</w:t>
            </w:r>
          </w:p>
        </w:tc>
        <w:tc>
          <w:tcPr>
            <w:tcW w:w="1984" w:type="dxa"/>
          </w:tcPr>
          <w:p w14:paraId="3087C114" w14:textId="77777777" w:rsidR="00013B5D" w:rsidRPr="00636F9A" w:rsidRDefault="00013B5D" w:rsidP="00805986">
            <w:pPr>
              <w:cnfStyle w:val="000000100000" w:firstRow="0" w:lastRow="0" w:firstColumn="0" w:lastColumn="0" w:oddVBand="0" w:evenVBand="0" w:oddHBand="1" w:evenHBand="0" w:firstRowFirstColumn="0" w:firstRowLastColumn="0" w:lastRowFirstColumn="0" w:lastRowLastColumn="0"/>
              <w:rPr>
                <w:rFonts w:ascii="Aptos" w:eastAsia="Aptos" w:hAnsi="Aptos" w:cs="Arial"/>
                <w:sz w:val="24"/>
                <w:szCs w:val="24"/>
              </w:rPr>
            </w:pPr>
            <w:r w:rsidRPr="00636F9A">
              <w:rPr>
                <w:rFonts w:ascii="Aptos" w:eastAsia="Aptos" w:hAnsi="Aptos" w:cs="Arial"/>
                <w:sz w:val="24"/>
                <w:szCs w:val="24"/>
              </w:rPr>
              <w:t>6.</w:t>
            </w:r>
            <w:r>
              <w:rPr>
                <w:rFonts w:ascii="Aptos" w:eastAsia="Aptos" w:hAnsi="Aptos" w:cs="Arial"/>
                <w:sz w:val="24"/>
                <w:szCs w:val="24"/>
              </w:rPr>
              <w:t>4</w:t>
            </w:r>
          </w:p>
        </w:tc>
        <w:tc>
          <w:tcPr>
            <w:tcW w:w="1984" w:type="dxa"/>
          </w:tcPr>
          <w:p w14:paraId="6306E6E4" w14:textId="77777777" w:rsidR="00013B5D" w:rsidRPr="00636F9A" w:rsidRDefault="00013B5D" w:rsidP="00805986">
            <w:pPr>
              <w:cnfStyle w:val="000000100000" w:firstRow="0" w:lastRow="0" w:firstColumn="0" w:lastColumn="0" w:oddVBand="0" w:evenVBand="0" w:oddHBand="1" w:evenHBand="0" w:firstRowFirstColumn="0" w:firstRowLastColumn="0" w:lastRowFirstColumn="0" w:lastRowLastColumn="0"/>
              <w:rPr>
                <w:rFonts w:ascii="Aptos" w:eastAsia="Aptos" w:hAnsi="Aptos" w:cs="Arial"/>
                <w:sz w:val="24"/>
                <w:szCs w:val="24"/>
              </w:rPr>
            </w:pPr>
            <w:r w:rsidRPr="00636F9A">
              <w:rPr>
                <w:rFonts w:ascii="Aptos" w:eastAsia="Aptos" w:hAnsi="Aptos" w:cs="Arial"/>
                <w:sz w:val="24"/>
                <w:szCs w:val="24"/>
              </w:rPr>
              <w:t>4.</w:t>
            </w:r>
            <w:r>
              <w:rPr>
                <w:rFonts w:ascii="Aptos" w:eastAsia="Aptos" w:hAnsi="Aptos" w:cs="Arial"/>
                <w:sz w:val="24"/>
                <w:szCs w:val="24"/>
              </w:rPr>
              <w:t>9</w:t>
            </w:r>
          </w:p>
        </w:tc>
        <w:tc>
          <w:tcPr>
            <w:tcW w:w="1984" w:type="dxa"/>
          </w:tcPr>
          <w:p w14:paraId="1AD4B5BC" w14:textId="77777777" w:rsidR="00013B5D" w:rsidRPr="00636F9A" w:rsidRDefault="00013B5D" w:rsidP="00805986">
            <w:pPr>
              <w:cnfStyle w:val="000000100000" w:firstRow="0" w:lastRow="0" w:firstColumn="0" w:lastColumn="0" w:oddVBand="0" w:evenVBand="0" w:oddHBand="1" w:evenHBand="0" w:firstRowFirstColumn="0" w:firstRowLastColumn="0" w:lastRowFirstColumn="0" w:lastRowLastColumn="0"/>
              <w:rPr>
                <w:rFonts w:ascii="Aptos" w:eastAsia="Aptos" w:hAnsi="Aptos" w:cs="Arial"/>
                <w:sz w:val="24"/>
                <w:szCs w:val="24"/>
              </w:rPr>
            </w:pPr>
            <w:r w:rsidRPr="00636F9A">
              <w:rPr>
                <w:rFonts w:ascii="Aptos" w:eastAsia="Aptos" w:hAnsi="Aptos" w:cs="Arial"/>
                <w:sz w:val="24"/>
                <w:szCs w:val="24"/>
              </w:rPr>
              <w:t>10.2</w:t>
            </w:r>
          </w:p>
        </w:tc>
      </w:tr>
    </w:tbl>
    <w:p w14:paraId="345288F8" w14:textId="77777777" w:rsidR="00013B5D" w:rsidRPr="00636F9A" w:rsidRDefault="00013B5D" w:rsidP="00013B5D">
      <w:pPr>
        <w:rPr>
          <w:rFonts w:ascii="Aptos" w:eastAsia="Aptos" w:hAnsi="Aptos" w:cs="Arial"/>
          <w:sz w:val="24"/>
          <w:szCs w:val="24"/>
        </w:rPr>
      </w:pPr>
    </w:p>
    <w:p w14:paraId="5D5D4FE8" w14:textId="77777777" w:rsidR="00013B5D" w:rsidRPr="00636F9A" w:rsidRDefault="00013B5D" w:rsidP="00013B5D">
      <w:pPr>
        <w:rPr>
          <w:rFonts w:ascii="Aptos" w:eastAsia="Aptos" w:hAnsi="Aptos" w:cs="Arial"/>
          <w:sz w:val="24"/>
          <w:szCs w:val="24"/>
        </w:rPr>
      </w:pPr>
      <w:r w:rsidRPr="00636F9A">
        <w:rPr>
          <w:rFonts w:ascii="Aptos" w:eastAsia="Aptos" w:hAnsi="Aptos" w:cs="Arial"/>
          <w:sz w:val="24"/>
          <w:szCs w:val="24"/>
        </w:rPr>
        <w:t>The percentage of VS applicants with a declared disability is 0.</w:t>
      </w:r>
      <w:r>
        <w:rPr>
          <w:rFonts w:ascii="Aptos" w:eastAsia="Aptos" w:hAnsi="Aptos" w:cs="Arial"/>
          <w:sz w:val="24"/>
          <w:szCs w:val="24"/>
        </w:rPr>
        <w:t>5</w:t>
      </w:r>
      <w:r w:rsidRPr="00636F9A">
        <w:rPr>
          <w:rFonts w:ascii="Aptos" w:eastAsia="Aptos" w:hAnsi="Aptos" w:cs="Arial"/>
          <w:sz w:val="24"/>
          <w:szCs w:val="24"/>
        </w:rPr>
        <w:t xml:space="preserve">% higher than the University average at 6.4%. Conversely the percentage of those applying for VS with no Disability is </w:t>
      </w:r>
      <w:r>
        <w:rPr>
          <w:rFonts w:ascii="Aptos" w:eastAsia="Aptos" w:hAnsi="Aptos" w:cs="Arial"/>
          <w:sz w:val="24"/>
          <w:szCs w:val="24"/>
        </w:rPr>
        <w:t>8.5</w:t>
      </w:r>
      <w:r w:rsidRPr="00636F9A">
        <w:rPr>
          <w:rFonts w:ascii="Aptos" w:eastAsia="Aptos" w:hAnsi="Aptos" w:cs="Arial"/>
          <w:sz w:val="24"/>
          <w:szCs w:val="24"/>
        </w:rPr>
        <w:t>% higher than the University benchmark. The marked difference is those with Unknown data, where the VS applicant pool is less than half of the benchmarked date. This implies the VS applicants are more likely to disclose either way. Of the approved, applications, there was a slight drop from those who have a disability, so only 0.</w:t>
      </w:r>
      <w:r>
        <w:rPr>
          <w:rFonts w:ascii="Aptos" w:eastAsia="Aptos" w:hAnsi="Aptos" w:cs="Arial"/>
          <w:sz w:val="24"/>
          <w:szCs w:val="24"/>
        </w:rPr>
        <w:t>2</w:t>
      </w:r>
      <w:r w:rsidRPr="00636F9A">
        <w:rPr>
          <w:rFonts w:ascii="Aptos" w:eastAsia="Aptos" w:hAnsi="Aptos" w:cs="Arial"/>
          <w:sz w:val="24"/>
          <w:szCs w:val="24"/>
        </w:rPr>
        <w:t xml:space="preserve">% above the University declaration rate. 8.3% of those who were rejected had </w:t>
      </w:r>
      <w:r w:rsidRPr="00636F9A">
        <w:rPr>
          <w:rFonts w:ascii="Aptos" w:eastAsia="Aptos" w:hAnsi="Aptos" w:cs="Arial"/>
          <w:sz w:val="24"/>
          <w:szCs w:val="24"/>
        </w:rPr>
        <w:lastRenderedPageBreak/>
        <w:t>disclosed a disability, almost 2% higher than the University declaration rate. This outcome shows, having a disability did not make it more likely you would be approved for VS.</w:t>
      </w:r>
    </w:p>
    <w:p w14:paraId="5FCF71DD" w14:textId="77777777" w:rsidR="00013B5D" w:rsidRPr="00636F9A" w:rsidRDefault="00013B5D" w:rsidP="00013B5D">
      <w:pPr>
        <w:keepNext/>
        <w:keepLines/>
        <w:spacing w:before="80" w:after="40"/>
        <w:outlineLvl w:val="4"/>
        <w:rPr>
          <w:rFonts w:ascii="Aptos" w:eastAsia="Yu Gothic Light" w:hAnsi="Aptos" w:cs="Times New Roman"/>
          <w:color w:val="0F4761"/>
        </w:rPr>
      </w:pPr>
      <w:r w:rsidRPr="00636F9A">
        <w:rPr>
          <w:rFonts w:ascii="Aptos" w:eastAsia="Yu Gothic Light" w:hAnsi="Aptos" w:cs="Times New Roman"/>
          <w:color w:val="0F4761"/>
        </w:rPr>
        <w:t>4.3 Ethnicity</w:t>
      </w:r>
    </w:p>
    <w:p w14:paraId="34500B6B" w14:textId="77777777" w:rsidR="00013B5D" w:rsidRPr="00636F9A" w:rsidRDefault="00013B5D" w:rsidP="00013B5D">
      <w:pPr>
        <w:rPr>
          <w:rFonts w:ascii="Aptos" w:eastAsia="Aptos" w:hAnsi="Aptos" w:cs="Arial"/>
          <w:sz w:val="24"/>
          <w:szCs w:val="24"/>
        </w:rPr>
      </w:pPr>
      <w:r w:rsidRPr="00636F9A">
        <w:rPr>
          <w:rFonts w:ascii="Aptos" w:eastAsia="Aptos" w:hAnsi="Aptos" w:cs="Arial"/>
          <w:sz w:val="24"/>
          <w:szCs w:val="24"/>
        </w:rPr>
        <w:t>Table 3 shows the percentage of each those from different ethnic backgrounds</w:t>
      </w:r>
      <w:r w:rsidRPr="00636F9A">
        <w:rPr>
          <w:rFonts w:ascii="Aptos" w:eastAsia="Aptos" w:hAnsi="Aptos" w:cs="Arial"/>
          <w:sz w:val="24"/>
          <w:szCs w:val="24"/>
          <w:vertAlign w:val="superscript"/>
        </w:rPr>
        <w:footnoteReference w:id="2"/>
      </w:r>
      <w:r w:rsidRPr="00636F9A">
        <w:rPr>
          <w:rFonts w:ascii="Aptos" w:eastAsia="Aptos" w:hAnsi="Aptos" w:cs="Arial"/>
          <w:sz w:val="24"/>
          <w:szCs w:val="24"/>
        </w:rPr>
        <w:t xml:space="preserve"> for the University, compared to the VS applicants. </w:t>
      </w:r>
    </w:p>
    <w:tbl>
      <w:tblPr>
        <w:tblStyle w:val="GridTable5Dark-Accent12"/>
        <w:tblW w:w="0" w:type="auto"/>
        <w:tblLook w:val="04A0" w:firstRow="1" w:lastRow="0" w:firstColumn="1" w:lastColumn="0" w:noHBand="0" w:noVBand="1"/>
      </w:tblPr>
      <w:tblGrid>
        <w:gridCol w:w="3539"/>
        <w:gridCol w:w="1622"/>
        <w:gridCol w:w="1765"/>
        <w:gridCol w:w="1765"/>
        <w:gridCol w:w="1765"/>
      </w:tblGrid>
      <w:tr w:rsidR="00013B5D" w:rsidRPr="00636F9A" w14:paraId="5B88E58C" w14:textId="77777777" w:rsidTr="008059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7DD2E36E" w14:textId="77777777" w:rsidR="00013B5D" w:rsidRPr="00636F9A" w:rsidRDefault="00013B5D" w:rsidP="00805986">
            <w:pPr>
              <w:rPr>
                <w:rFonts w:ascii="Aptos" w:eastAsia="Aptos" w:hAnsi="Aptos" w:cs="Arial"/>
                <w:sz w:val="24"/>
                <w:szCs w:val="24"/>
              </w:rPr>
            </w:pPr>
            <w:r w:rsidRPr="00636F9A">
              <w:rPr>
                <w:rFonts w:ascii="Aptos" w:eastAsia="Aptos" w:hAnsi="Aptos" w:cs="Arial"/>
                <w:sz w:val="24"/>
                <w:szCs w:val="24"/>
              </w:rPr>
              <w:t>Ethnicity</w:t>
            </w:r>
          </w:p>
        </w:tc>
        <w:tc>
          <w:tcPr>
            <w:tcW w:w="1622" w:type="dxa"/>
          </w:tcPr>
          <w:p w14:paraId="1E6BF1D1" w14:textId="77777777" w:rsidR="00013B5D" w:rsidRPr="00636F9A" w:rsidRDefault="00013B5D" w:rsidP="00805986">
            <w:pPr>
              <w:cnfStyle w:val="100000000000" w:firstRow="1" w:lastRow="0" w:firstColumn="0" w:lastColumn="0" w:oddVBand="0" w:evenVBand="0" w:oddHBand="0" w:evenHBand="0" w:firstRowFirstColumn="0" w:firstRowLastColumn="0" w:lastRowFirstColumn="0" w:lastRowLastColumn="0"/>
              <w:rPr>
                <w:rFonts w:ascii="Aptos" w:eastAsia="Aptos" w:hAnsi="Aptos" w:cs="Arial"/>
                <w:sz w:val="24"/>
                <w:szCs w:val="24"/>
              </w:rPr>
            </w:pPr>
            <w:r w:rsidRPr="00636F9A">
              <w:rPr>
                <w:rFonts w:ascii="Aptos" w:eastAsia="Aptos" w:hAnsi="Aptos" w:cs="Arial"/>
                <w:sz w:val="24"/>
                <w:szCs w:val="24"/>
              </w:rPr>
              <w:t>University %</w:t>
            </w:r>
          </w:p>
        </w:tc>
        <w:tc>
          <w:tcPr>
            <w:tcW w:w="1765" w:type="dxa"/>
          </w:tcPr>
          <w:p w14:paraId="2E28A655" w14:textId="77777777" w:rsidR="00013B5D" w:rsidRPr="00636F9A" w:rsidRDefault="00013B5D" w:rsidP="00805986">
            <w:pPr>
              <w:cnfStyle w:val="100000000000" w:firstRow="1" w:lastRow="0" w:firstColumn="0" w:lastColumn="0" w:oddVBand="0" w:evenVBand="0" w:oddHBand="0" w:evenHBand="0" w:firstRowFirstColumn="0" w:firstRowLastColumn="0" w:lastRowFirstColumn="0" w:lastRowLastColumn="0"/>
              <w:rPr>
                <w:rFonts w:ascii="Aptos" w:eastAsia="Aptos" w:hAnsi="Aptos" w:cs="Arial"/>
                <w:sz w:val="24"/>
                <w:szCs w:val="24"/>
              </w:rPr>
            </w:pPr>
            <w:r w:rsidRPr="00636F9A">
              <w:rPr>
                <w:rFonts w:ascii="Aptos" w:eastAsia="Aptos" w:hAnsi="Aptos" w:cs="Arial"/>
                <w:sz w:val="24"/>
                <w:szCs w:val="24"/>
              </w:rPr>
              <w:t>VS Applicants %</w:t>
            </w:r>
          </w:p>
        </w:tc>
        <w:tc>
          <w:tcPr>
            <w:tcW w:w="1765" w:type="dxa"/>
          </w:tcPr>
          <w:p w14:paraId="6881E8B0" w14:textId="77777777" w:rsidR="00013B5D" w:rsidRPr="00636F9A" w:rsidRDefault="00013B5D" w:rsidP="00805986">
            <w:pPr>
              <w:cnfStyle w:val="100000000000" w:firstRow="1" w:lastRow="0" w:firstColumn="0" w:lastColumn="0" w:oddVBand="0" w:evenVBand="0" w:oddHBand="0" w:evenHBand="0" w:firstRowFirstColumn="0" w:firstRowLastColumn="0" w:lastRowFirstColumn="0" w:lastRowLastColumn="0"/>
              <w:rPr>
                <w:rFonts w:ascii="Aptos" w:eastAsia="Aptos" w:hAnsi="Aptos" w:cs="Arial"/>
                <w:sz w:val="24"/>
                <w:szCs w:val="24"/>
              </w:rPr>
            </w:pPr>
            <w:r w:rsidRPr="00636F9A">
              <w:rPr>
                <w:rFonts w:ascii="Aptos" w:eastAsia="Aptos" w:hAnsi="Aptos" w:cs="Arial"/>
                <w:sz w:val="24"/>
                <w:szCs w:val="24"/>
              </w:rPr>
              <w:t>% Approved</w:t>
            </w:r>
          </w:p>
        </w:tc>
        <w:tc>
          <w:tcPr>
            <w:tcW w:w="1765" w:type="dxa"/>
          </w:tcPr>
          <w:p w14:paraId="5AC891A9" w14:textId="77777777" w:rsidR="00013B5D" w:rsidRPr="00636F9A" w:rsidRDefault="00013B5D" w:rsidP="00805986">
            <w:pPr>
              <w:cnfStyle w:val="100000000000" w:firstRow="1" w:lastRow="0" w:firstColumn="0" w:lastColumn="0" w:oddVBand="0" w:evenVBand="0" w:oddHBand="0" w:evenHBand="0" w:firstRowFirstColumn="0" w:firstRowLastColumn="0" w:lastRowFirstColumn="0" w:lastRowLastColumn="0"/>
              <w:rPr>
                <w:rFonts w:ascii="Aptos" w:eastAsia="Aptos" w:hAnsi="Aptos" w:cs="Arial"/>
                <w:sz w:val="24"/>
                <w:szCs w:val="24"/>
              </w:rPr>
            </w:pPr>
            <w:r w:rsidRPr="00636F9A">
              <w:rPr>
                <w:rFonts w:ascii="Aptos" w:eastAsia="Aptos" w:hAnsi="Aptos" w:cs="Arial"/>
                <w:sz w:val="24"/>
                <w:szCs w:val="24"/>
              </w:rPr>
              <w:t>% Rejected</w:t>
            </w:r>
          </w:p>
        </w:tc>
      </w:tr>
      <w:tr w:rsidR="00013B5D" w:rsidRPr="00636F9A" w14:paraId="17EA6F6E" w14:textId="77777777" w:rsidTr="008059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2DDB0DF1" w14:textId="77777777" w:rsidR="00013B5D" w:rsidRPr="00636F9A" w:rsidRDefault="00013B5D" w:rsidP="00805986">
            <w:pPr>
              <w:rPr>
                <w:rFonts w:ascii="Aptos" w:eastAsia="Aptos" w:hAnsi="Aptos" w:cs="Arial"/>
                <w:sz w:val="24"/>
                <w:szCs w:val="24"/>
              </w:rPr>
            </w:pPr>
            <w:r w:rsidRPr="00636F9A">
              <w:rPr>
                <w:rFonts w:ascii="Aptos" w:eastAsia="Aptos" w:hAnsi="Aptos" w:cs="Arial"/>
                <w:sz w:val="24"/>
                <w:szCs w:val="24"/>
              </w:rPr>
              <w:t>Black &amp; Minority Ethnic (BME)</w:t>
            </w:r>
          </w:p>
        </w:tc>
        <w:tc>
          <w:tcPr>
            <w:tcW w:w="1622" w:type="dxa"/>
          </w:tcPr>
          <w:p w14:paraId="47B2A779" w14:textId="77777777" w:rsidR="00013B5D" w:rsidRPr="00636F9A" w:rsidRDefault="00013B5D" w:rsidP="00805986">
            <w:pPr>
              <w:cnfStyle w:val="000000100000" w:firstRow="0" w:lastRow="0" w:firstColumn="0" w:lastColumn="0" w:oddVBand="0" w:evenVBand="0" w:oddHBand="1" w:evenHBand="0" w:firstRowFirstColumn="0" w:firstRowLastColumn="0" w:lastRowFirstColumn="0" w:lastRowLastColumn="0"/>
              <w:rPr>
                <w:rFonts w:ascii="Aptos" w:eastAsia="Aptos" w:hAnsi="Aptos" w:cs="Arial"/>
                <w:sz w:val="24"/>
                <w:szCs w:val="24"/>
              </w:rPr>
            </w:pPr>
            <w:r w:rsidRPr="00636F9A">
              <w:rPr>
                <w:rFonts w:ascii="Aptos" w:eastAsia="Aptos" w:hAnsi="Aptos" w:cs="Arial"/>
                <w:sz w:val="24"/>
                <w:szCs w:val="24"/>
              </w:rPr>
              <w:t>14.1</w:t>
            </w:r>
          </w:p>
        </w:tc>
        <w:tc>
          <w:tcPr>
            <w:tcW w:w="1765" w:type="dxa"/>
          </w:tcPr>
          <w:p w14:paraId="2BCFAD64" w14:textId="77777777" w:rsidR="00013B5D" w:rsidRPr="00636F9A" w:rsidRDefault="00013B5D" w:rsidP="00805986">
            <w:pPr>
              <w:cnfStyle w:val="000000100000" w:firstRow="0" w:lastRow="0" w:firstColumn="0" w:lastColumn="0" w:oddVBand="0" w:evenVBand="0" w:oddHBand="1" w:evenHBand="0" w:firstRowFirstColumn="0" w:firstRowLastColumn="0" w:lastRowFirstColumn="0" w:lastRowLastColumn="0"/>
              <w:rPr>
                <w:rFonts w:ascii="Aptos" w:eastAsia="Aptos" w:hAnsi="Aptos" w:cs="Arial"/>
                <w:sz w:val="24"/>
                <w:szCs w:val="24"/>
              </w:rPr>
            </w:pPr>
            <w:r w:rsidRPr="00636F9A">
              <w:rPr>
                <w:rFonts w:ascii="Aptos" w:eastAsia="Aptos" w:hAnsi="Aptos" w:cs="Arial"/>
                <w:sz w:val="24"/>
                <w:szCs w:val="24"/>
              </w:rPr>
              <w:t>6.</w:t>
            </w:r>
            <w:r>
              <w:rPr>
                <w:rFonts w:ascii="Aptos" w:eastAsia="Aptos" w:hAnsi="Aptos" w:cs="Arial"/>
                <w:sz w:val="24"/>
                <w:szCs w:val="24"/>
              </w:rPr>
              <w:t>7</w:t>
            </w:r>
          </w:p>
        </w:tc>
        <w:tc>
          <w:tcPr>
            <w:tcW w:w="1765" w:type="dxa"/>
          </w:tcPr>
          <w:p w14:paraId="593BA666" w14:textId="77777777" w:rsidR="00013B5D" w:rsidRPr="00636F9A" w:rsidRDefault="00013B5D" w:rsidP="00805986">
            <w:pPr>
              <w:cnfStyle w:val="000000100000" w:firstRow="0" w:lastRow="0" w:firstColumn="0" w:lastColumn="0" w:oddVBand="0" w:evenVBand="0" w:oddHBand="1" w:evenHBand="0" w:firstRowFirstColumn="0" w:firstRowLastColumn="0" w:lastRowFirstColumn="0" w:lastRowLastColumn="0"/>
              <w:rPr>
                <w:rFonts w:ascii="Aptos" w:eastAsia="Aptos" w:hAnsi="Aptos" w:cs="Arial"/>
                <w:sz w:val="24"/>
                <w:szCs w:val="24"/>
              </w:rPr>
            </w:pPr>
            <w:r w:rsidRPr="00636F9A">
              <w:rPr>
                <w:rFonts w:ascii="Aptos" w:eastAsia="Aptos" w:hAnsi="Aptos" w:cs="Arial"/>
                <w:sz w:val="24"/>
                <w:szCs w:val="24"/>
              </w:rPr>
              <w:t>8.0</w:t>
            </w:r>
          </w:p>
        </w:tc>
        <w:tc>
          <w:tcPr>
            <w:tcW w:w="1765" w:type="dxa"/>
          </w:tcPr>
          <w:p w14:paraId="606B856C" w14:textId="77777777" w:rsidR="00013B5D" w:rsidRPr="00636F9A" w:rsidRDefault="00013B5D" w:rsidP="00805986">
            <w:pPr>
              <w:cnfStyle w:val="000000100000" w:firstRow="0" w:lastRow="0" w:firstColumn="0" w:lastColumn="0" w:oddVBand="0" w:evenVBand="0" w:oddHBand="1" w:evenHBand="0" w:firstRowFirstColumn="0" w:firstRowLastColumn="0" w:lastRowFirstColumn="0" w:lastRowLastColumn="0"/>
              <w:rPr>
                <w:rFonts w:ascii="Aptos" w:eastAsia="Aptos" w:hAnsi="Aptos" w:cs="Arial"/>
                <w:sz w:val="24"/>
                <w:szCs w:val="24"/>
              </w:rPr>
            </w:pPr>
            <w:r w:rsidRPr="00636F9A">
              <w:rPr>
                <w:rFonts w:ascii="Aptos" w:eastAsia="Aptos" w:hAnsi="Aptos" w:cs="Arial"/>
                <w:sz w:val="24"/>
                <w:szCs w:val="24"/>
              </w:rPr>
              <w:t>4.6</w:t>
            </w:r>
          </w:p>
        </w:tc>
      </w:tr>
      <w:tr w:rsidR="00013B5D" w:rsidRPr="00636F9A" w14:paraId="4F249A03" w14:textId="77777777" w:rsidTr="00805986">
        <w:tc>
          <w:tcPr>
            <w:cnfStyle w:val="001000000000" w:firstRow="0" w:lastRow="0" w:firstColumn="1" w:lastColumn="0" w:oddVBand="0" w:evenVBand="0" w:oddHBand="0" w:evenHBand="0" w:firstRowFirstColumn="0" w:firstRowLastColumn="0" w:lastRowFirstColumn="0" w:lastRowLastColumn="0"/>
            <w:tcW w:w="3539" w:type="dxa"/>
          </w:tcPr>
          <w:p w14:paraId="17C197B8" w14:textId="77777777" w:rsidR="00013B5D" w:rsidRPr="00636F9A" w:rsidRDefault="00013B5D" w:rsidP="00805986">
            <w:pPr>
              <w:rPr>
                <w:rFonts w:ascii="Aptos" w:eastAsia="Aptos" w:hAnsi="Aptos" w:cs="Arial"/>
                <w:sz w:val="24"/>
                <w:szCs w:val="24"/>
              </w:rPr>
            </w:pPr>
            <w:r w:rsidRPr="00636F9A">
              <w:rPr>
                <w:rFonts w:ascii="Aptos" w:eastAsia="Aptos" w:hAnsi="Aptos" w:cs="Arial"/>
                <w:sz w:val="24"/>
                <w:szCs w:val="24"/>
              </w:rPr>
              <w:t>White</w:t>
            </w:r>
          </w:p>
        </w:tc>
        <w:tc>
          <w:tcPr>
            <w:tcW w:w="1622" w:type="dxa"/>
          </w:tcPr>
          <w:p w14:paraId="78E62FA1" w14:textId="77777777" w:rsidR="00013B5D" w:rsidRPr="00636F9A" w:rsidRDefault="00013B5D" w:rsidP="00805986">
            <w:pPr>
              <w:cnfStyle w:val="000000000000" w:firstRow="0" w:lastRow="0" w:firstColumn="0" w:lastColumn="0" w:oddVBand="0" w:evenVBand="0" w:oddHBand="0" w:evenHBand="0" w:firstRowFirstColumn="0" w:firstRowLastColumn="0" w:lastRowFirstColumn="0" w:lastRowLastColumn="0"/>
              <w:rPr>
                <w:rFonts w:ascii="Aptos" w:eastAsia="Aptos" w:hAnsi="Aptos" w:cs="Arial"/>
                <w:sz w:val="24"/>
                <w:szCs w:val="24"/>
              </w:rPr>
            </w:pPr>
            <w:r w:rsidRPr="00636F9A">
              <w:rPr>
                <w:rFonts w:ascii="Aptos" w:eastAsia="Aptos" w:hAnsi="Aptos" w:cs="Arial"/>
                <w:sz w:val="24"/>
                <w:szCs w:val="24"/>
              </w:rPr>
              <w:t>73.7</w:t>
            </w:r>
          </w:p>
        </w:tc>
        <w:tc>
          <w:tcPr>
            <w:tcW w:w="1765" w:type="dxa"/>
          </w:tcPr>
          <w:p w14:paraId="31BE1FC3" w14:textId="77777777" w:rsidR="00013B5D" w:rsidRPr="00636F9A" w:rsidRDefault="00013B5D" w:rsidP="00805986">
            <w:pPr>
              <w:cnfStyle w:val="000000000000" w:firstRow="0" w:lastRow="0" w:firstColumn="0" w:lastColumn="0" w:oddVBand="0" w:evenVBand="0" w:oddHBand="0" w:evenHBand="0" w:firstRowFirstColumn="0" w:firstRowLastColumn="0" w:lastRowFirstColumn="0" w:lastRowLastColumn="0"/>
              <w:rPr>
                <w:rFonts w:ascii="Aptos" w:eastAsia="Aptos" w:hAnsi="Aptos" w:cs="Arial"/>
                <w:sz w:val="24"/>
                <w:szCs w:val="24"/>
              </w:rPr>
            </w:pPr>
            <w:r w:rsidRPr="00636F9A">
              <w:rPr>
                <w:rFonts w:ascii="Aptos" w:eastAsia="Aptos" w:hAnsi="Aptos" w:cs="Arial"/>
                <w:sz w:val="24"/>
                <w:szCs w:val="24"/>
              </w:rPr>
              <w:t>89.</w:t>
            </w:r>
            <w:r>
              <w:rPr>
                <w:rFonts w:ascii="Aptos" w:eastAsia="Aptos" w:hAnsi="Aptos" w:cs="Arial"/>
                <w:sz w:val="24"/>
                <w:szCs w:val="24"/>
              </w:rPr>
              <w:t>5</w:t>
            </w:r>
          </w:p>
        </w:tc>
        <w:tc>
          <w:tcPr>
            <w:tcW w:w="1765" w:type="dxa"/>
          </w:tcPr>
          <w:p w14:paraId="65D54172" w14:textId="77777777" w:rsidR="00013B5D" w:rsidRPr="00636F9A" w:rsidRDefault="00013B5D" w:rsidP="00805986">
            <w:pPr>
              <w:cnfStyle w:val="000000000000" w:firstRow="0" w:lastRow="0" w:firstColumn="0" w:lastColumn="0" w:oddVBand="0" w:evenVBand="0" w:oddHBand="0" w:evenHBand="0" w:firstRowFirstColumn="0" w:firstRowLastColumn="0" w:lastRowFirstColumn="0" w:lastRowLastColumn="0"/>
              <w:rPr>
                <w:rFonts w:ascii="Aptos" w:eastAsia="Aptos" w:hAnsi="Aptos" w:cs="Arial"/>
                <w:sz w:val="24"/>
                <w:szCs w:val="24"/>
              </w:rPr>
            </w:pPr>
            <w:r w:rsidRPr="00636F9A">
              <w:rPr>
                <w:rFonts w:ascii="Aptos" w:eastAsia="Aptos" w:hAnsi="Aptos" w:cs="Arial"/>
                <w:sz w:val="24"/>
                <w:szCs w:val="24"/>
              </w:rPr>
              <w:t>89.</w:t>
            </w:r>
            <w:r>
              <w:rPr>
                <w:rFonts w:ascii="Aptos" w:eastAsia="Aptos" w:hAnsi="Aptos" w:cs="Arial"/>
                <w:sz w:val="24"/>
                <w:szCs w:val="24"/>
              </w:rPr>
              <w:t>2</w:t>
            </w:r>
          </w:p>
        </w:tc>
        <w:tc>
          <w:tcPr>
            <w:tcW w:w="1765" w:type="dxa"/>
          </w:tcPr>
          <w:p w14:paraId="413CA8CD" w14:textId="77777777" w:rsidR="00013B5D" w:rsidRPr="00636F9A" w:rsidRDefault="00013B5D" w:rsidP="00805986">
            <w:pPr>
              <w:cnfStyle w:val="000000000000" w:firstRow="0" w:lastRow="0" w:firstColumn="0" w:lastColumn="0" w:oddVBand="0" w:evenVBand="0" w:oddHBand="0" w:evenHBand="0" w:firstRowFirstColumn="0" w:firstRowLastColumn="0" w:lastRowFirstColumn="0" w:lastRowLastColumn="0"/>
              <w:rPr>
                <w:rFonts w:ascii="Aptos" w:eastAsia="Aptos" w:hAnsi="Aptos" w:cs="Arial"/>
                <w:sz w:val="24"/>
                <w:szCs w:val="24"/>
              </w:rPr>
            </w:pPr>
            <w:r w:rsidRPr="00636F9A">
              <w:rPr>
                <w:rFonts w:ascii="Aptos" w:eastAsia="Aptos" w:hAnsi="Aptos" w:cs="Arial"/>
                <w:sz w:val="24"/>
                <w:szCs w:val="24"/>
              </w:rPr>
              <w:t>88.9</w:t>
            </w:r>
          </w:p>
        </w:tc>
      </w:tr>
      <w:tr w:rsidR="00013B5D" w:rsidRPr="00636F9A" w14:paraId="23041971" w14:textId="77777777" w:rsidTr="008059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4A354140" w14:textId="77777777" w:rsidR="00013B5D" w:rsidRPr="00636F9A" w:rsidRDefault="00013B5D" w:rsidP="00805986">
            <w:pPr>
              <w:rPr>
                <w:rFonts w:ascii="Aptos" w:eastAsia="Aptos" w:hAnsi="Aptos" w:cs="Arial"/>
                <w:sz w:val="24"/>
                <w:szCs w:val="24"/>
              </w:rPr>
            </w:pPr>
            <w:r w:rsidRPr="00636F9A">
              <w:rPr>
                <w:rFonts w:ascii="Aptos" w:eastAsia="Aptos" w:hAnsi="Aptos" w:cs="Arial"/>
                <w:sz w:val="24"/>
                <w:szCs w:val="24"/>
              </w:rPr>
              <w:t>Not known</w:t>
            </w:r>
          </w:p>
        </w:tc>
        <w:tc>
          <w:tcPr>
            <w:tcW w:w="1622" w:type="dxa"/>
          </w:tcPr>
          <w:p w14:paraId="78151E1F" w14:textId="77777777" w:rsidR="00013B5D" w:rsidRPr="00636F9A" w:rsidRDefault="00013B5D" w:rsidP="00805986">
            <w:pPr>
              <w:cnfStyle w:val="000000100000" w:firstRow="0" w:lastRow="0" w:firstColumn="0" w:lastColumn="0" w:oddVBand="0" w:evenVBand="0" w:oddHBand="1" w:evenHBand="0" w:firstRowFirstColumn="0" w:firstRowLastColumn="0" w:lastRowFirstColumn="0" w:lastRowLastColumn="0"/>
              <w:rPr>
                <w:rFonts w:ascii="Aptos" w:eastAsia="Aptos" w:hAnsi="Aptos" w:cs="Arial"/>
                <w:sz w:val="24"/>
                <w:szCs w:val="24"/>
              </w:rPr>
            </w:pPr>
            <w:r w:rsidRPr="00636F9A">
              <w:rPr>
                <w:rFonts w:ascii="Aptos" w:eastAsia="Aptos" w:hAnsi="Aptos" w:cs="Arial"/>
                <w:sz w:val="24"/>
                <w:szCs w:val="24"/>
              </w:rPr>
              <w:t>10</w:t>
            </w:r>
          </w:p>
        </w:tc>
        <w:tc>
          <w:tcPr>
            <w:tcW w:w="1765" w:type="dxa"/>
          </w:tcPr>
          <w:p w14:paraId="5D317E5A" w14:textId="77777777" w:rsidR="00013B5D" w:rsidRPr="00636F9A" w:rsidRDefault="00013B5D" w:rsidP="00805986">
            <w:pPr>
              <w:cnfStyle w:val="000000100000" w:firstRow="0" w:lastRow="0" w:firstColumn="0" w:lastColumn="0" w:oddVBand="0" w:evenVBand="0" w:oddHBand="1" w:evenHBand="0" w:firstRowFirstColumn="0" w:firstRowLastColumn="0" w:lastRowFirstColumn="0" w:lastRowLastColumn="0"/>
              <w:rPr>
                <w:rFonts w:ascii="Aptos" w:eastAsia="Aptos" w:hAnsi="Aptos" w:cs="Arial"/>
                <w:sz w:val="24"/>
                <w:szCs w:val="24"/>
              </w:rPr>
            </w:pPr>
            <w:r>
              <w:rPr>
                <w:rFonts w:ascii="Aptos" w:eastAsia="Aptos" w:hAnsi="Aptos" w:cs="Arial"/>
                <w:sz w:val="24"/>
                <w:szCs w:val="24"/>
              </w:rPr>
              <w:t>1.8</w:t>
            </w:r>
          </w:p>
        </w:tc>
        <w:tc>
          <w:tcPr>
            <w:tcW w:w="1765" w:type="dxa"/>
          </w:tcPr>
          <w:p w14:paraId="4EC91C89" w14:textId="77777777" w:rsidR="00013B5D" w:rsidRPr="00636F9A" w:rsidRDefault="00013B5D" w:rsidP="00805986">
            <w:pPr>
              <w:cnfStyle w:val="000000100000" w:firstRow="0" w:lastRow="0" w:firstColumn="0" w:lastColumn="0" w:oddVBand="0" w:evenVBand="0" w:oddHBand="1" w:evenHBand="0" w:firstRowFirstColumn="0" w:firstRowLastColumn="0" w:lastRowFirstColumn="0" w:lastRowLastColumn="0"/>
              <w:rPr>
                <w:rFonts w:ascii="Aptos" w:eastAsia="Aptos" w:hAnsi="Aptos" w:cs="Arial"/>
                <w:sz w:val="24"/>
                <w:szCs w:val="24"/>
              </w:rPr>
            </w:pPr>
            <w:r w:rsidRPr="00636F9A">
              <w:rPr>
                <w:rFonts w:ascii="Aptos" w:eastAsia="Aptos" w:hAnsi="Aptos" w:cs="Arial"/>
                <w:sz w:val="24"/>
                <w:szCs w:val="24"/>
              </w:rPr>
              <w:t>1.4</w:t>
            </w:r>
          </w:p>
        </w:tc>
        <w:tc>
          <w:tcPr>
            <w:tcW w:w="1765" w:type="dxa"/>
          </w:tcPr>
          <w:p w14:paraId="14588572" w14:textId="77777777" w:rsidR="00013B5D" w:rsidRPr="00636F9A" w:rsidRDefault="00013B5D" w:rsidP="00805986">
            <w:pPr>
              <w:cnfStyle w:val="000000100000" w:firstRow="0" w:lastRow="0" w:firstColumn="0" w:lastColumn="0" w:oddVBand="0" w:evenVBand="0" w:oddHBand="1" w:evenHBand="0" w:firstRowFirstColumn="0" w:firstRowLastColumn="0" w:lastRowFirstColumn="0" w:lastRowLastColumn="0"/>
              <w:rPr>
                <w:rFonts w:ascii="Aptos" w:eastAsia="Aptos" w:hAnsi="Aptos" w:cs="Arial"/>
                <w:sz w:val="24"/>
                <w:szCs w:val="24"/>
              </w:rPr>
            </w:pPr>
            <w:r w:rsidRPr="00636F9A">
              <w:rPr>
                <w:rFonts w:ascii="Aptos" w:eastAsia="Aptos" w:hAnsi="Aptos" w:cs="Arial"/>
                <w:sz w:val="24"/>
                <w:szCs w:val="24"/>
              </w:rPr>
              <w:t>2.8</w:t>
            </w:r>
          </w:p>
        </w:tc>
      </w:tr>
      <w:tr w:rsidR="00013B5D" w:rsidRPr="00636F9A" w14:paraId="30869ECA" w14:textId="77777777" w:rsidTr="00805986">
        <w:tc>
          <w:tcPr>
            <w:cnfStyle w:val="001000000000" w:firstRow="0" w:lastRow="0" w:firstColumn="1" w:lastColumn="0" w:oddVBand="0" w:evenVBand="0" w:oddHBand="0" w:evenHBand="0" w:firstRowFirstColumn="0" w:firstRowLastColumn="0" w:lastRowFirstColumn="0" w:lastRowLastColumn="0"/>
            <w:tcW w:w="3539" w:type="dxa"/>
          </w:tcPr>
          <w:p w14:paraId="6F50D246" w14:textId="77777777" w:rsidR="00013B5D" w:rsidRPr="00636F9A" w:rsidRDefault="00013B5D" w:rsidP="00805986">
            <w:pPr>
              <w:rPr>
                <w:rFonts w:ascii="Aptos" w:eastAsia="Aptos" w:hAnsi="Aptos" w:cs="Arial"/>
                <w:sz w:val="24"/>
                <w:szCs w:val="24"/>
              </w:rPr>
            </w:pPr>
            <w:r w:rsidRPr="00636F9A">
              <w:rPr>
                <w:rFonts w:ascii="Aptos" w:eastAsia="Aptos" w:hAnsi="Aptos" w:cs="Arial"/>
                <w:sz w:val="24"/>
                <w:szCs w:val="24"/>
              </w:rPr>
              <w:t>Prefer not to say</w:t>
            </w:r>
          </w:p>
        </w:tc>
        <w:tc>
          <w:tcPr>
            <w:tcW w:w="1622" w:type="dxa"/>
          </w:tcPr>
          <w:p w14:paraId="0A9FB98D" w14:textId="77777777" w:rsidR="00013B5D" w:rsidRPr="00636F9A" w:rsidRDefault="00013B5D" w:rsidP="00805986">
            <w:pPr>
              <w:cnfStyle w:val="000000000000" w:firstRow="0" w:lastRow="0" w:firstColumn="0" w:lastColumn="0" w:oddVBand="0" w:evenVBand="0" w:oddHBand="0" w:evenHBand="0" w:firstRowFirstColumn="0" w:firstRowLastColumn="0" w:lastRowFirstColumn="0" w:lastRowLastColumn="0"/>
              <w:rPr>
                <w:rFonts w:ascii="Aptos" w:eastAsia="Aptos" w:hAnsi="Aptos" w:cs="Arial"/>
                <w:sz w:val="24"/>
                <w:szCs w:val="24"/>
              </w:rPr>
            </w:pPr>
            <w:r w:rsidRPr="00636F9A">
              <w:rPr>
                <w:rFonts w:ascii="Aptos" w:eastAsia="Aptos" w:hAnsi="Aptos" w:cs="Arial"/>
                <w:sz w:val="24"/>
                <w:szCs w:val="24"/>
              </w:rPr>
              <w:t>2.2</w:t>
            </w:r>
          </w:p>
        </w:tc>
        <w:tc>
          <w:tcPr>
            <w:tcW w:w="1765" w:type="dxa"/>
          </w:tcPr>
          <w:p w14:paraId="2C9DFBEA" w14:textId="77777777" w:rsidR="00013B5D" w:rsidRPr="00636F9A" w:rsidRDefault="00013B5D" w:rsidP="00805986">
            <w:pPr>
              <w:cnfStyle w:val="000000000000" w:firstRow="0" w:lastRow="0" w:firstColumn="0" w:lastColumn="0" w:oddVBand="0" w:evenVBand="0" w:oddHBand="0" w:evenHBand="0" w:firstRowFirstColumn="0" w:firstRowLastColumn="0" w:lastRowFirstColumn="0" w:lastRowLastColumn="0"/>
              <w:rPr>
                <w:rFonts w:ascii="Aptos" w:eastAsia="Aptos" w:hAnsi="Aptos" w:cs="Arial"/>
                <w:sz w:val="24"/>
                <w:szCs w:val="24"/>
              </w:rPr>
            </w:pPr>
            <w:r>
              <w:rPr>
                <w:rFonts w:ascii="Aptos" w:eastAsia="Aptos" w:hAnsi="Aptos" w:cs="Arial"/>
                <w:sz w:val="24"/>
                <w:szCs w:val="24"/>
              </w:rPr>
              <w:t>2.0</w:t>
            </w:r>
          </w:p>
        </w:tc>
        <w:tc>
          <w:tcPr>
            <w:tcW w:w="1765" w:type="dxa"/>
          </w:tcPr>
          <w:p w14:paraId="43D6017F" w14:textId="77777777" w:rsidR="00013B5D" w:rsidRPr="00636F9A" w:rsidRDefault="00013B5D" w:rsidP="00805986">
            <w:pPr>
              <w:cnfStyle w:val="000000000000" w:firstRow="0" w:lastRow="0" w:firstColumn="0" w:lastColumn="0" w:oddVBand="0" w:evenVBand="0" w:oddHBand="0" w:evenHBand="0" w:firstRowFirstColumn="0" w:firstRowLastColumn="0" w:lastRowFirstColumn="0" w:lastRowLastColumn="0"/>
              <w:rPr>
                <w:rFonts w:ascii="Aptos" w:eastAsia="Aptos" w:hAnsi="Aptos" w:cs="Arial"/>
                <w:sz w:val="24"/>
                <w:szCs w:val="24"/>
              </w:rPr>
            </w:pPr>
            <w:r w:rsidRPr="00636F9A">
              <w:rPr>
                <w:rFonts w:ascii="Aptos" w:eastAsia="Aptos" w:hAnsi="Aptos" w:cs="Arial"/>
                <w:sz w:val="24"/>
                <w:szCs w:val="24"/>
              </w:rPr>
              <w:t>1.4</w:t>
            </w:r>
          </w:p>
        </w:tc>
        <w:tc>
          <w:tcPr>
            <w:tcW w:w="1765" w:type="dxa"/>
          </w:tcPr>
          <w:p w14:paraId="0404358A" w14:textId="77777777" w:rsidR="00013B5D" w:rsidRPr="00636F9A" w:rsidRDefault="00013B5D" w:rsidP="00805986">
            <w:pPr>
              <w:cnfStyle w:val="000000000000" w:firstRow="0" w:lastRow="0" w:firstColumn="0" w:lastColumn="0" w:oddVBand="0" w:evenVBand="0" w:oddHBand="0" w:evenHBand="0" w:firstRowFirstColumn="0" w:firstRowLastColumn="0" w:lastRowFirstColumn="0" w:lastRowLastColumn="0"/>
              <w:rPr>
                <w:rFonts w:ascii="Aptos" w:eastAsia="Aptos" w:hAnsi="Aptos" w:cs="Arial"/>
                <w:sz w:val="24"/>
                <w:szCs w:val="24"/>
              </w:rPr>
            </w:pPr>
            <w:r w:rsidRPr="00636F9A">
              <w:rPr>
                <w:rFonts w:ascii="Aptos" w:eastAsia="Aptos" w:hAnsi="Aptos" w:cs="Arial"/>
                <w:sz w:val="24"/>
                <w:szCs w:val="24"/>
              </w:rPr>
              <w:t>3.7</w:t>
            </w:r>
          </w:p>
        </w:tc>
      </w:tr>
    </w:tbl>
    <w:p w14:paraId="378672F1" w14:textId="77777777" w:rsidR="00013B5D" w:rsidRPr="00636F9A" w:rsidRDefault="00013B5D" w:rsidP="00013B5D">
      <w:pPr>
        <w:rPr>
          <w:rFonts w:ascii="Aptos" w:eastAsia="Aptos" w:hAnsi="Aptos" w:cs="Arial"/>
          <w:sz w:val="24"/>
          <w:szCs w:val="24"/>
        </w:rPr>
      </w:pPr>
    </w:p>
    <w:p w14:paraId="3BF44CEF" w14:textId="77777777" w:rsidR="00013B5D" w:rsidRPr="00636F9A" w:rsidRDefault="00013B5D" w:rsidP="00013B5D">
      <w:pPr>
        <w:rPr>
          <w:rFonts w:ascii="Aptos" w:eastAsia="Aptos" w:hAnsi="Aptos" w:cs="Arial"/>
          <w:sz w:val="24"/>
          <w:szCs w:val="24"/>
        </w:rPr>
      </w:pPr>
      <w:r w:rsidRPr="00636F9A">
        <w:rPr>
          <w:rFonts w:ascii="Aptos" w:eastAsia="Aptos" w:hAnsi="Aptos" w:cs="Arial"/>
          <w:sz w:val="24"/>
          <w:szCs w:val="24"/>
        </w:rPr>
        <w:t>The percentage of BME VS applicants is 7.</w:t>
      </w:r>
      <w:r>
        <w:rPr>
          <w:rFonts w:ascii="Aptos" w:eastAsia="Aptos" w:hAnsi="Aptos" w:cs="Arial"/>
          <w:sz w:val="24"/>
          <w:szCs w:val="24"/>
        </w:rPr>
        <w:t>4</w:t>
      </w:r>
      <w:r w:rsidRPr="00636F9A">
        <w:rPr>
          <w:rFonts w:ascii="Aptos" w:eastAsia="Aptos" w:hAnsi="Aptos" w:cs="Arial"/>
          <w:sz w:val="24"/>
          <w:szCs w:val="24"/>
        </w:rPr>
        <w:t>% lower than the University benchmark. The percentage of White VS applicants is higher than the University, by 15.</w:t>
      </w:r>
      <w:r>
        <w:rPr>
          <w:rFonts w:ascii="Aptos" w:eastAsia="Aptos" w:hAnsi="Aptos" w:cs="Arial"/>
          <w:sz w:val="24"/>
          <w:szCs w:val="24"/>
        </w:rPr>
        <w:t>8</w:t>
      </w:r>
      <w:r w:rsidRPr="00636F9A">
        <w:rPr>
          <w:rFonts w:ascii="Aptos" w:eastAsia="Aptos" w:hAnsi="Aptos" w:cs="Arial"/>
          <w:sz w:val="24"/>
          <w:szCs w:val="24"/>
        </w:rPr>
        <w:t xml:space="preserve">%. </w:t>
      </w:r>
      <w:proofErr w:type="gramStart"/>
      <w:r w:rsidRPr="00636F9A">
        <w:rPr>
          <w:rFonts w:ascii="Aptos" w:eastAsia="Aptos" w:hAnsi="Aptos" w:cs="Arial"/>
          <w:sz w:val="24"/>
          <w:szCs w:val="24"/>
        </w:rPr>
        <w:t>Similar to</w:t>
      </w:r>
      <w:proofErr w:type="gramEnd"/>
      <w:r w:rsidRPr="00636F9A">
        <w:rPr>
          <w:rFonts w:ascii="Aptos" w:eastAsia="Aptos" w:hAnsi="Aptos" w:cs="Arial"/>
          <w:sz w:val="24"/>
          <w:szCs w:val="24"/>
        </w:rPr>
        <w:t xml:space="preserve"> the disability data the percentage of not known and prefer not to say is higher for the University benchmark when compared to the VS applicants. This implies the VS applicants are more likely to disclose their data. Of the applicants who were approved for VS, 8% had a BME ethnicity, which although higher than the applicant pool, is still over 6% lower than the University benchmark.  This outcome shows being from an ethnic minority did not make you more likely to be approved for VS.</w:t>
      </w:r>
    </w:p>
    <w:p w14:paraId="26384E4F" w14:textId="77777777" w:rsidR="00013B5D" w:rsidRPr="00636F9A" w:rsidRDefault="00013B5D" w:rsidP="00013B5D">
      <w:pPr>
        <w:keepNext/>
        <w:keepLines/>
        <w:spacing w:before="80" w:after="40"/>
        <w:outlineLvl w:val="4"/>
        <w:rPr>
          <w:rFonts w:ascii="Aptos" w:eastAsia="Yu Gothic Light" w:hAnsi="Aptos" w:cs="Times New Roman"/>
          <w:color w:val="0F4761"/>
        </w:rPr>
      </w:pPr>
      <w:r w:rsidRPr="00636F9A">
        <w:rPr>
          <w:rFonts w:ascii="Aptos" w:eastAsia="Yu Gothic Light" w:hAnsi="Aptos" w:cs="Times New Roman"/>
          <w:color w:val="0F4761"/>
        </w:rPr>
        <w:t>4.4 Sex</w:t>
      </w:r>
    </w:p>
    <w:p w14:paraId="5920EC3D" w14:textId="77777777" w:rsidR="00013B5D" w:rsidRPr="00636F9A" w:rsidRDefault="00013B5D" w:rsidP="00013B5D">
      <w:pPr>
        <w:rPr>
          <w:rFonts w:ascii="Aptos" w:eastAsia="Aptos" w:hAnsi="Aptos" w:cs="Arial"/>
          <w:sz w:val="24"/>
          <w:szCs w:val="24"/>
        </w:rPr>
      </w:pPr>
      <w:r w:rsidRPr="00636F9A">
        <w:rPr>
          <w:rFonts w:ascii="Aptos" w:eastAsia="Aptos" w:hAnsi="Aptos" w:cs="Arial"/>
          <w:sz w:val="24"/>
          <w:szCs w:val="24"/>
        </w:rPr>
        <w:t xml:space="preserve">Table 4 shows the percentage of each sex for the University, compared to the VS applicants. </w:t>
      </w:r>
    </w:p>
    <w:tbl>
      <w:tblPr>
        <w:tblStyle w:val="GridTable5Dark-Accent12"/>
        <w:tblW w:w="0" w:type="auto"/>
        <w:tblLook w:val="04A0" w:firstRow="1" w:lastRow="0" w:firstColumn="1" w:lastColumn="0" w:noHBand="0" w:noVBand="1"/>
      </w:tblPr>
      <w:tblGrid>
        <w:gridCol w:w="1413"/>
        <w:gridCol w:w="1843"/>
        <w:gridCol w:w="2126"/>
        <w:gridCol w:w="2126"/>
        <w:gridCol w:w="2126"/>
      </w:tblGrid>
      <w:tr w:rsidR="00013B5D" w:rsidRPr="00636F9A" w14:paraId="519B5582" w14:textId="77777777" w:rsidTr="008059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5F13BB32" w14:textId="77777777" w:rsidR="00013B5D" w:rsidRPr="00636F9A" w:rsidRDefault="00013B5D" w:rsidP="00805986">
            <w:pPr>
              <w:rPr>
                <w:rFonts w:ascii="Aptos" w:eastAsia="Aptos" w:hAnsi="Aptos" w:cs="Arial"/>
                <w:sz w:val="24"/>
                <w:szCs w:val="24"/>
              </w:rPr>
            </w:pPr>
            <w:r w:rsidRPr="00636F9A">
              <w:rPr>
                <w:rFonts w:ascii="Aptos" w:eastAsia="Aptos" w:hAnsi="Aptos" w:cs="Arial"/>
                <w:sz w:val="24"/>
                <w:szCs w:val="24"/>
              </w:rPr>
              <w:t>Sex</w:t>
            </w:r>
          </w:p>
        </w:tc>
        <w:tc>
          <w:tcPr>
            <w:tcW w:w="1843" w:type="dxa"/>
          </w:tcPr>
          <w:p w14:paraId="1301619B" w14:textId="77777777" w:rsidR="00013B5D" w:rsidRPr="00636F9A" w:rsidRDefault="00013B5D" w:rsidP="00805986">
            <w:pPr>
              <w:cnfStyle w:val="100000000000" w:firstRow="1" w:lastRow="0" w:firstColumn="0" w:lastColumn="0" w:oddVBand="0" w:evenVBand="0" w:oddHBand="0" w:evenHBand="0" w:firstRowFirstColumn="0" w:firstRowLastColumn="0" w:lastRowFirstColumn="0" w:lastRowLastColumn="0"/>
              <w:rPr>
                <w:rFonts w:ascii="Aptos" w:eastAsia="Aptos" w:hAnsi="Aptos" w:cs="Arial"/>
                <w:sz w:val="24"/>
                <w:szCs w:val="24"/>
              </w:rPr>
            </w:pPr>
            <w:r w:rsidRPr="00636F9A">
              <w:rPr>
                <w:rFonts w:ascii="Aptos" w:eastAsia="Aptos" w:hAnsi="Aptos" w:cs="Arial"/>
                <w:sz w:val="24"/>
                <w:szCs w:val="24"/>
              </w:rPr>
              <w:t>University %</w:t>
            </w:r>
          </w:p>
        </w:tc>
        <w:tc>
          <w:tcPr>
            <w:tcW w:w="2126" w:type="dxa"/>
          </w:tcPr>
          <w:p w14:paraId="370A3520" w14:textId="77777777" w:rsidR="00013B5D" w:rsidRPr="00636F9A" w:rsidRDefault="00013B5D" w:rsidP="00805986">
            <w:pPr>
              <w:cnfStyle w:val="100000000000" w:firstRow="1" w:lastRow="0" w:firstColumn="0" w:lastColumn="0" w:oddVBand="0" w:evenVBand="0" w:oddHBand="0" w:evenHBand="0" w:firstRowFirstColumn="0" w:firstRowLastColumn="0" w:lastRowFirstColumn="0" w:lastRowLastColumn="0"/>
              <w:rPr>
                <w:rFonts w:ascii="Aptos" w:eastAsia="Aptos" w:hAnsi="Aptos" w:cs="Arial"/>
                <w:sz w:val="24"/>
                <w:szCs w:val="24"/>
              </w:rPr>
            </w:pPr>
            <w:r w:rsidRPr="00636F9A">
              <w:rPr>
                <w:rFonts w:ascii="Aptos" w:eastAsia="Aptos" w:hAnsi="Aptos" w:cs="Arial"/>
                <w:sz w:val="24"/>
                <w:szCs w:val="24"/>
              </w:rPr>
              <w:t>VS Applicants %</w:t>
            </w:r>
          </w:p>
        </w:tc>
        <w:tc>
          <w:tcPr>
            <w:tcW w:w="2126" w:type="dxa"/>
          </w:tcPr>
          <w:p w14:paraId="1DA4E0D9" w14:textId="77777777" w:rsidR="00013B5D" w:rsidRPr="00636F9A" w:rsidRDefault="00013B5D" w:rsidP="00805986">
            <w:pPr>
              <w:cnfStyle w:val="100000000000" w:firstRow="1" w:lastRow="0" w:firstColumn="0" w:lastColumn="0" w:oddVBand="0" w:evenVBand="0" w:oddHBand="0" w:evenHBand="0" w:firstRowFirstColumn="0" w:firstRowLastColumn="0" w:lastRowFirstColumn="0" w:lastRowLastColumn="0"/>
              <w:rPr>
                <w:rFonts w:ascii="Aptos" w:eastAsia="Aptos" w:hAnsi="Aptos" w:cs="Arial"/>
                <w:sz w:val="24"/>
                <w:szCs w:val="24"/>
              </w:rPr>
            </w:pPr>
            <w:r w:rsidRPr="00636F9A">
              <w:rPr>
                <w:rFonts w:ascii="Aptos" w:eastAsia="Aptos" w:hAnsi="Aptos" w:cs="Arial"/>
                <w:sz w:val="24"/>
                <w:szCs w:val="24"/>
              </w:rPr>
              <w:t>% Approved</w:t>
            </w:r>
          </w:p>
        </w:tc>
        <w:tc>
          <w:tcPr>
            <w:tcW w:w="2126" w:type="dxa"/>
          </w:tcPr>
          <w:p w14:paraId="59529E9A" w14:textId="77777777" w:rsidR="00013B5D" w:rsidRPr="00636F9A" w:rsidRDefault="00013B5D" w:rsidP="00805986">
            <w:pPr>
              <w:cnfStyle w:val="100000000000" w:firstRow="1" w:lastRow="0" w:firstColumn="0" w:lastColumn="0" w:oddVBand="0" w:evenVBand="0" w:oddHBand="0" w:evenHBand="0" w:firstRowFirstColumn="0" w:firstRowLastColumn="0" w:lastRowFirstColumn="0" w:lastRowLastColumn="0"/>
              <w:rPr>
                <w:rFonts w:ascii="Aptos" w:eastAsia="Aptos" w:hAnsi="Aptos" w:cs="Arial"/>
                <w:sz w:val="24"/>
                <w:szCs w:val="24"/>
              </w:rPr>
            </w:pPr>
            <w:r w:rsidRPr="00636F9A">
              <w:rPr>
                <w:rFonts w:ascii="Aptos" w:eastAsia="Aptos" w:hAnsi="Aptos" w:cs="Arial"/>
                <w:sz w:val="24"/>
                <w:szCs w:val="24"/>
              </w:rPr>
              <w:t>% Rejected</w:t>
            </w:r>
          </w:p>
        </w:tc>
      </w:tr>
      <w:tr w:rsidR="00013B5D" w:rsidRPr="00636F9A" w14:paraId="08A23452" w14:textId="77777777" w:rsidTr="008059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4F2C34B7" w14:textId="77777777" w:rsidR="00013B5D" w:rsidRPr="00636F9A" w:rsidRDefault="00013B5D" w:rsidP="00805986">
            <w:pPr>
              <w:rPr>
                <w:rFonts w:ascii="Aptos" w:eastAsia="Aptos" w:hAnsi="Aptos" w:cs="Arial"/>
                <w:sz w:val="24"/>
                <w:szCs w:val="24"/>
              </w:rPr>
            </w:pPr>
            <w:r w:rsidRPr="00636F9A">
              <w:rPr>
                <w:rFonts w:ascii="Aptos" w:eastAsia="Aptos" w:hAnsi="Aptos" w:cs="Arial"/>
                <w:sz w:val="24"/>
                <w:szCs w:val="24"/>
              </w:rPr>
              <w:t xml:space="preserve">Female </w:t>
            </w:r>
          </w:p>
        </w:tc>
        <w:tc>
          <w:tcPr>
            <w:tcW w:w="1843" w:type="dxa"/>
          </w:tcPr>
          <w:p w14:paraId="6DEF3E2C" w14:textId="77777777" w:rsidR="00013B5D" w:rsidRPr="00636F9A" w:rsidRDefault="00013B5D" w:rsidP="00805986">
            <w:pPr>
              <w:cnfStyle w:val="000000100000" w:firstRow="0" w:lastRow="0" w:firstColumn="0" w:lastColumn="0" w:oddVBand="0" w:evenVBand="0" w:oddHBand="1" w:evenHBand="0" w:firstRowFirstColumn="0" w:firstRowLastColumn="0" w:lastRowFirstColumn="0" w:lastRowLastColumn="0"/>
              <w:rPr>
                <w:rFonts w:ascii="Aptos" w:eastAsia="Aptos" w:hAnsi="Aptos" w:cs="Arial"/>
                <w:sz w:val="24"/>
                <w:szCs w:val="24"/>
              </w:rPr>
            </w:pPr>
            <w:r w:rsidRPr="00636F9A">
              <w:rPr>
                <w:rFonts w:ascii="Aptos" w:eastAsia="Aptos" w:hAnsi="Aptos" w:cs="Arial"/>
                <w:sz w:val="24"/>
                <w:szCs w:val="24"/>
              </w:rPr>
              <w:t>58.3</w:t>
            </w:r>
          </w:p>
        </w:tc>
        <w:tc>
          <w:tcPr>
            <w:tcW w:w="2126" w:type="dxa"/>
          </w:tcPr>
          <w:p w14:paraId="0E311B31" w14:textId="77777777" w:rsidR="00013B5D" w:rsidRPr="00636F9A" w:rsidRDefault="00013B5D" w:rsidP="00805986">
            <w:pPr>
              <w:cnfStyle w:val="000000100000" w:firstRow="0" w:lastRow="0" w:firstColumn="0" w:lastColumn="0" w:oddVBand="0" w:evenVBand="0" w:oddHBand="1" w:evenHBand="0" w:firstRowFirstColumn="0" w:firstRowLastColumn="0" w:lastRowFirstColumn="0" w:lastRowLastColumn="0"/>
              <w:rPr>
                <w:rFonts w:ascii="Aptos" w:eastAsia="Aptos" w:hAnsi="Aptos" w:cs="Arial"/>
                <w:sz w:val="24"/>
                <w:szCs w:val="24"/>
              </w:rPr>
            </w:pPr>
            <w:r w:rsidRPr="00636F9A">
              <w:rPr>
                <w:rFonts w:ascii="Aptos" w:eastAsia="Aptos" w:hAnsi="Aptos" w:cs="Arial"/>
                <w:sz w:val="24"/>
                <w:szCs w:val="24"/>
              </w:rPr>
              <w:t>66.</w:t>
            </w:r>
            <w:r>
              <w:rPr>
                <w:rFonts w:ascii="Aptos" w:eastAsia="Aptos" w:hAnsi="Aptos" w:cs="Arial"/>
                <w:sz w:val="24"/>
                <w:szCs w:val="24"/>
              </w:rPr>
              <w:t>9</w:t>
            </w:r>
          </w:p>
        </w:tc>
        <w:tc>
          <w:tcPr>
            <w:tcW w:w="2126" w:type="dxa"/>
          </w:tcPr>
          <w:p w14:paraId="0CECEE5C" w14:textId="77777777" w:rsidR="00013B5D" w:rsidRPr="00636F9A" w:rsidRDefault="00013B5D" w:rsidP="00805986">
            <w:pPr>
              <w:cnfStyle w:val="000000100000" w:firstRow="0" w:lastRow="0" w:firstColumn="0" w:lastColumn="0" w:oddVBand="0" w:evenVBand="0" w:oddHBand="1" w:evenHBand="0" w:firstRowFirstColumn="0" w:firstRowLastColumn="0" w:lastRowFirstColumn="0" w:lastRowLastColumn="0"/>
              <w:rPr>
                <w:rFonts w:ascii="Aptos" w:eastAsia="Aptos" w:hAnsi="Aptos" w:cs="Arial"/>
                <w:sz w:val="24"/>
                <w:szCs w:val="24"/>
              </w:rPr>
            </w:pPr>
            <w:r w:rsidRPr="00636F9A">
              <w:rPr>
                <w:rFonts w:ascii="Aptos" w:eastAsia="Aptos" w:hAnsi="Aptos" w:cs="Arial"/>
                <w:sz w:val="24"/>
                <w:szCs w:val="24"/>
              </w:rPr>
              <w:t>66.</w:t>
            </w:r>
            <w:r>
              <w:rPr>
                <w:rFonts w:ascii="Aptos" w:eastAsia="Aptos" w:hAnsi="Aptos" w:cs="Arial"/>
                <w:sz w:val="24"/>
                <w:szCs w:val="24"/>
              </w:rPr>
              <w:t>5</w:t>
            </w:r>
          </w:p>
        </w:tc>
        <w:tc>
          <w:tcPr>
            <w:tcW w:w="2126" w:type="dxa"/>
          </w:tcPr>
          <w:p w14:paraId="788104CD" w14:textId="77777777" w:rsidR="00013B5D" w:rsidRPr="00636F9A" w:rsidRDefault="00013B5D" w:rsidP="00805986">
            <w:pPr>
              <w:cnfStyle w:val="000000100000" w:firstRow="0" w:lastRow="0" w:firstColumn="0" w:lastColumn="0" w:oddVBand="0" w:evenVBand="0" w:oddHBand="1" w:evenHBand="0" w:firstRowFirstColumn="0" w:firstRowLastColumn="0" w:lastRowFirstColumn="0" w:lastRowLastColumn="0"/>
              <w:rPr>
                <w:rFonts w:ascii="Aptos" w:eastAsia="Aptos" w:hAnsi="Aptos" w:cs="Arial"/>
                <w:sz w:val="24"/>
                <w:szCs w:val="24"/>
              </w:rPr>
            </w:pPr>
            <w:r w:rsidRPr="00636F9A">
              <w:rPr>
                <w:rFonts w:ascii="Aptos" w:eastAsia="Aptos" w:hAnsi="Aptos" w:cs="Arial"/>
                <w:sz w:val="24"/>
                <w:szCs w:val="24"/>
              </w:rPr>
              <w:t>65.7</w:t>
            </w:r>
          </w:p>
        </w:tc>
      </w:tr>
      <w:tr w:rsidR="00013B5D" w:rsidRPr="00636F9A" w14:paraId="1AC831B2" w14:textId="77777777" w:rsidTr="00805986">
        <w:tc>
          <w:tcPr>
            <w:cnfStyle w:val="001000000000" w:firstRow="0" w:lastRow="0" w:firstColumn="1" w:lastColumn="0" w:oddVBand="0" w:evenVBand="0" w:oddHBand="0" w:evenHBand="0" w:firstRowFirstColumn="0" w:firstRowLastColumn="0" w:lastRowFirstColumn="0" w:lastRowLastColumn="0"/>
            <w:tcW w:w="1413" w:type="dxa"/>
          </w:tcPr>
          <w:p w14:paraId="51BDED67" w14:textId="77777777" w:rsidR="00013B5D" w:rsidRPr="00636F9A" w:rsidRDefault="00013B5D" w:rsidP="00805986">
            <w:pPr>
              <w:rPr>
                <w:rFonts w:ascii="Aptos" w:eastAsia="Aptos" w:hAnsi="Aptos" w:cs="Arial"/>
                <w:sz w:val="24"/>
                <w:szCs w:val="24"/>
              </w:rPr>
            </w:pPr>
            <w:r w:rsidRPr="00636F9A">
              <w:rPr>
                <w:rFonts w:ascii="Aptos" w:eastAsia="Aptos" w:hAnsi="Aptos" w:cs="Arial"/>
                <w:sz w:val="24"/>
                <w:szCs w:val="24"/>
              </w:rPr>
              <w:t>Male</w:t>
            </w:r>
          </w:p>
        </w:tc>
        <w:tc>
          <w:tcPr>
            <w:tcW w:w="1843" w:type="dxa"/>
          </w:tcPr>
          <w:p w14:paraId="7E496A6C" w14:textId="77777777" w:rsidR="00013B5D" w:rsidRPr="00636F9A" w:rsidRDefault="00013B5D" w:rsidP="00805986">
            <w:pPr>
              <w:cnfStyle w:val="000000000000" w:firstRow="0" w:lastRow="0" w:firstColumn="0" w:lastColumn="0" w:oddVBand="0" w:evenVBand="0" w:oddHBand="0" w:evenHBand="0" w:firstRowFirstColumn="0" w:firstRowLastColumn="0" w:lastRowFirstColumn="0" w:lastRowLastColumn="0"/>
              <w:rPr>
                <w:rFonts w:ascii="Aptos" w:eastAsia="Aptos" w:hAnsi="Aptos" w:cs="Arial"/>
                <w:sz w:val="24"/>
                <w:szCs w:val="24"/>
              </w:rPr>
            </w:pPr>
            <w:r w:rsidRPr="00636F9A">
              <w:rPr>
                <w:rFonts w:ascii="Aptos" w:eastAsia="Aptos" w:hAnsi="Aptos" w:cs="Arial"/>
                <w:sz w:val="24"/>
                <w:szCs w:val="24"/>
              </w:rPr>
              <w:t>41.7</w:t>
            </w:r>
          </w:p>
        </w:tc>
        <w:tc>
          <w:tcPr>
            <w:tcW w:w="2126" w:type="dxa"/>
          </w:tcPr>
          <w:p w14:paraId="6184A18D" w14:textId="77777777" w:rsidR="00013B5D" w:rsidRPr="00636F9A" w:rsidRDefault="00013B5D" w:rsidP="00805986">
            <w:pPr>
              <w:cnfStyle w:val="000000000000" w:firstRow="0" w:lastRow="0" w:firstColumn="0" w:lastColumn="0" w:oddVBand="0" w:evenVBand="0" w:oddHBand="0" w:evenHBand="0" w:firstRowFirstColumn="0" w:firstRowLastColumn="0" w:lastRowFirstColumn="0" w:lastRowLastColumn="0"/>
              <w:rPr>
                <w:rFonts w:ascii="Aptos" w:eastAsia="Aptos" w:hAnsi="Aptos" w:cs="Arial"/>
                <w:sz w:val="24"/>
                <w:szCs w:val="24"/>
              </w:rPr>
            </w:pPr>
            <w:r w:rsidRPr="00636F9A">
              <w:rPr>
                <w:rFonts w:ascii="Aptos" w:eastAsia="Aptos" w:hAnsi="Aptos" w:cs="Arial"/>
                <w:sz w:val="24"/>
                <w:szCs w:val="24"/>
              </w:rPr>
              <w:t>33.</w:t>
            </w:r>
            <w:r>
              <w:rPr>
                <w:rFonts w:ascii="Aptos" w:eastAsia="Aptos" w:hAnsi="Aptos" w:cs="Arial"/>
                <w:sz w:val="24"/>
                <w:szCs w:val="24"/>
              </w:rPr>
              <w:t>1</w:t>
            </w:r>
          </w:p>
        </w:tc>
        <w:tc>
          <w:tcPr>
            <w:tcW w:w="2126" w:type="dxa"/>
          </w:tcPr>
          <w:p w14:paraId="383682DA" w14:textId="77777777" w:rsidR="00013B5D" w:rsidRPr="00636F9A" w:rsidRDefault="00013B5D" w:rsidP="00805986">
            <w:pPr>
              <w:cnfStyle w:val="000000000000" w:firstRow="0" w:lastRow="0" w:firstColumn="0" w:lastColumn="0" w:oddVBand="0" w:evenVBand="0" w:oddHBand="0" w:evenHBand="0" w:firstRowFirstColumn="0" w:firstRowLastColumn="0" w:lastRowFirstColumn="0" w:lastRowLastColumn="0"/>
              <w:rPr>
                <w:rFonts w:ascii="Aptos" w:eastAsia="Aptos" w:hAnsi="Aptos" w:cs="Arial"/>
                <w:sz w:val="24"/>
                <w:szCs w:val="24"/>
              </w:rPr>
            </w:pPr>
            <w:r w:rsidRPr="00636F9A">
              <w:rPr>
                <w:rFonts w:ascii="Aptos" w:eastAsia="Aptos" w:hAnsi="Aptos" w:cs="Arial"/>
                <w:sz w:val="24"/>
                <w:szCs w:val="24"/>
              </w:rPr>
              <w:t>33.</w:t>
            </w:r>
            <w:r>
              <w:rPr>
                <w:rFonts w:ascii="Aptos" w:eastAsia="Aptos" w:hAnsi="Aptos" w:cs="Arial"/>
                <w:sz w:val="24"/>
                <w:szCs w:val="24"/>
              </w:rPr>
              <w:t>5</w:t>
            </w:r>
          </w:p>
        </w:tc>
        <w:tc>
          <w:tcPr>
            <w:tcW w:w="2126" w:type="dxa"/>
          </w:tcPr>
          <w:p w14:paraId="1E46BCDD" w14:textId="77777777" w:rsidR="00013B5D" w:rsidRPr="00636F9A" w:rsidRDefault="00013B5D" w:rsidP="00805986">
            <w:pPr>
              <w:cnfStyle w:val="000000000000" w:firstRow="0" w:lastRow="0" w:firstColumn="0" w:lastColumn="0" w:oddVBand="0" w:evenVBand="0" w:oddHBand="0" w:evenHBand="0" w:firstRowFirstColumn="0" w:firstRowLastColumn="0" w:lastRowFirstColumn="0" w:lastRowLastColumn="0"/>
              <w:rPr>
                <w:rFonts w:ascii="Aptos" w:eastAsia="Aptos" w:hAnsi="Aptos" w:cs="Arial"/>
                <w:sz w:val="24"/>
                <w:szCs w:val="24"/>
              </w:rPr>
            </w:pPr>
            <w:r w:rsidRPr="00636F9A">
              <w:rPr>
                <w:rFonts w:ascii="Aptos" w:eastAsia="Aptos" w:hAnsi="Aptos" w:cs="Arial"/>
                <w:sz w:val="24"/>
                <w:szCs w:val="24"/>
              </w:rPr>
              <w:t>34.3</w:t>
            </w:r>
          </w:p>
        </w:tc>
      </w:tr>
    </w:tbl>
    <w:p w14:paraId="0D27311D" w14:textId="77777777" w:rsidR="00013B5D" w:rsidRPr="00636F9A" w:rsidRDefault="00013B5D" w:rsidP="00013B5D">
      <w:pPr>
        <w:rPr>
          <w:rFonts w:ascii="Aptos" w:eastAsia="Aptos" w:hAnsi="Aptos" w:cs="Arial"/>
          <w:sz w:val="24"/>
          <w:szCs w:val="24"/>
        </w:rPr>
      </w:pPr>
    </w:p>
    <w:p w14:paraId="3393E8E6" w14:textId="77777777" w:rsidR="00013B5D" w:rsidRPr="00636F9A" w:rsidRDefault="00013B5D" w:rsidP="00013B5D">
      <w:pPr>
        <w:rPr>
          <w:rFonts w:ascii="Aptos" w:eastAsia="Aptos" w:hAnsi="Aptos" w:cs="Arial"/>
          <w:sz w:val="24"/>
          <w:szCs w:val="24"/>
        </w:rPr>
      </w:pPr>
      <w:r w:rsidRPr="00636F9A">
        <w:rPr>
          <w:rFonts w:ascii="Aptos" w:eastAsia="Aptos" w:hAnsi="Aptos" w:cs="Arial"/>
          <w:sz w:val="24"/>
          <w:szCs w:val="24"/>
        </w:rPr>
        <w:t>There is a higher proportion of females working at the University compared to males, this is reflected in the VS applicants but is higher still for the female VS applicants by 8.</w:t>
      </w:r>
      <w:r>
        <w:rPr>
          <w:rFonts w:ascii="Aptos" w:eastAsia="Aptos" w:hAnsi="Aptos" w:cs="Arial"/>
          <w:sz w:val="24"/>
          <w:szCs w:val="24"/>
        </w:rPr>
        <w:t>6</w:t>
      </w:r>
      <w:r w:rsidRPr="00636F9A">
        <w:rPr>
          <w:rFonts w:ascii="Aptos" w:eastAsia="Aptos" w:hAnsi="Aptos" w:cs="Arial"/>
          <w:sz w:val="24"/>
          <w:szCs w:val="24"/>
        </w:rPr>
        <w:t>%. Therefore, two thirds of the applications are from women. When considering approval rates for females and males, these aligned with the application rates.</w:t>
      </w:r>
    </w:p>
    <w:p w14:paraId="4C5A7E58" w14:textId="77777777" w:rsidR="00013B5D" w:rsidRDefault="00013B5D" w:rsidP="00013B5D">
      <w:pPr>
        <w:rPr>
          <w:rFonts w:ascii="Aptos" w:eastAsia="Aptos" w:hAnsi="Aptos" w:cs="Arial"/>
          <w:sz w:val="24"/>
          <w:szCs w:val="24"/>
        </w:rPr>
      </w:pPr>
      <w:r w:rsidRPr="00636F9A">
        <w:rPr>
          <w:rFonts w:ascii="Aptos" w:eastAsia="Aptos" w:hAnsi="Aptos" w:cs="Arial"/>
          <w:sz w:val="24"/>
          <w:szCs w:val="24"/>
        </w:rPr>
        <w:t>On further consideration of this, almost 80% of the VS applications are from those in Professional Services (PS) roles. Of the PS roles in the University, 63.1% of these are held by women, with this accounting for 70.2% of the female VS applicants. Therefore, we can conclude the job category was the most significant factor, and this reflected the occupational segregation which exists in these roles, where the majority are held by females.</w:t>
      </w:r>
    </w:p>
    <w:p w14:paraId="46ADD80D" w14:textId="77777777" w:rsidR="00013B5D" w:rsidRPr="00636F9A" w:rsidRDefault="00013B5D" w:rsidP="00013B5D">
      <w:pPr>
        <w:rPr>
          <w:rFonts w:ascii="Aptos" w:eastAsia="Aptos" w:hAnsi="Aptos" w:cs="Arial"/>
          <w:sz w:val="24"/>
          <w:szCs w:val="24"/>
        </w:rPr>
      </w:pPr>
    </w:p>
    <w:p w14:paraId="16463BA6" w14:textId="77777777" w:rsidR="00013B5D" w:rsidRPr="00636F9A" w:rsidRDefault="00013B5D" w:rsidP="00013B5D">
      <w:pPr>
        <w:keepNext/>
        <w:keepLines/>
        <w:spacing w:before="80" w:after="40"/>
        <w:outlineLvl w:val="4"/>
        <w:rPr>
          <w:rFonts w:ascii="Aptos" w:eastAsia="Yu Gothic Light" w:hAnsi="Aptos" w:cs="Times New Roman"/>
          <w:color w:val="0F4761"/>
        </w:rPr>
      </w:pPr>
      <w:r w:rsidRPr="00636F9A">
        <w:rPr>
          <w:rFonts w:ascii="Aptos" w:eastAsia="Yu Gothic Light" w:hAnsi="Aptos" w:cs="Times New Roman"/>
          <w:color w:val="0F4761"/>
        </w:rPr>
        <w:lastRenderedPageBreak/>
        <w:t>4.5 Sexual Orientation</w:t>
      </w:r>
    </w:p>
    <w:p w14:paraId="1F6B0960" w14:textId="77777777" w:rsidR="00013B5D" w:rsidRPr="00636F9A" w:rsidRDefault="00013B5D" w:rsidP="00013B5D">
      <w:pPr>
        <w:rPr>
          <w:rFonts w:ascii="Aptos" w:eastAsia="Aptos" w:hAnsi="Aptos" w:cs="Arial"/>
          <w:sz w:val="24"/>
          <w:szCs w:val="24"/>
        </w:rPr>
      </w:pPr>
      <w:r w:rsidRPr="00636F9A">
        <w:rPr>
          <w:rFonts w:ascii="Aptos" w:eastAsia="Aptos" w:hAnsi="Aptos" w:cs="Arial"/>
          <w:sz w:val="24"/>
          <w:szCs w:val="24"/>
        </w:rPr>
        <w:t>Table 5 shows the percentage by sexual orientation</w:t>
      </w:r>
      <w:r w:rsidRPr="00636F9A">
        <w:rPr>
          <w:rFonts w:ascii="Aptos" w:eastAsia="Aptos" w:hAnsi="Aptos" w:cs="Arial"/>
          <w:sz w:val="24"/>
          <w:szCs w:val="24"/>
          <w:vertAlign w:val="superscript"/>
        </w:rPr>
        <w:footnoteReference w:id="3"/>
      </w:r>
      <w:r w:rsidRPr="00636F9A">
        <w:rPr>
          <w:rFonts w:ascii="Aptos" w:eastAsia="Aptos" w:hAnsi="Aptos" w:cs="Arial"/>
          <w:sz w:val="24"/>
          <w:szCs w:val="24"/>
        </w:rPr>
        <w:t xml:space="preserve"> for the University, compared to the VS applicants. </w:t>
      </w:r>
    </w:p>
    <w:tbl>
      <w:tblPr>
        <w:tblStyle w:val="GridTable5Dark-Accent12"/>
        <w:tblW w:w="0" w:type="auto"/>
        <w:tblLook w:val="04A0" w:firstRow="1" w:lastRow="0" w:firstColumn="1" w:lastColumn="0" w:noHBand="0" w:noVBand="1"/>
      </w:tblPr>
      <w:tblGrid>
        <w:gridCol w:w="2383"/>
        <w:gridCol w:w="1828"/>
        <w:gridCol w:w="2105"/>
        <w:gridCol w:w="2070"/>
        <w:gridCol w:w="2070"/>
      </w:tblGrid>
      <w:tr w:rsidR="00013B5D" w:rsidRPr="00636F9A" w14:paraId="5092DB5E" w14:textId="77777777" w:rsidTr="008059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3" w:type="dxa"/>
          </w:tcPr>
          <w:p w14:paraId="685378F2" w14:textId="77777777" w:rsidR="00013B5D" w:rsidRPr="00636F9A" w:rsidRDefault="00013B5D" w:rsidP="00805986">
            <w:pPr>
              <w:rPr>
                <w:rFonts w:ascii="Aptos" w:eastAsia="Aptos" w:hAnsi="Aptos" w:cs="Arial"/>
                <w:sz w:val="24"/>
                <w:szCs w:val="24"/>
              </w:rPr>
            </w:pPr>
            <w:r w:rsidRPr="00636F9A">
              <w:rPr>
                <w:rFonts w:ascii="Aptos" w:eastAsia="Aptos" w:hAnsi="Aptos" w:cs="Arial"/>
                <w:sz w:val="24"/>
                <w:szCs w:val="24"/>
              </w:rPr>
              <w:t>Sexual Orientation</w:t>
            </w:r>
          </w:p>
        </w:tc>
        <w:tc>
          <w:tcPr>
            <w:tcW w:w="1828" w:type="dxa"/>
          </w:tcPr>
          <w:p w14:paraId="6553CA48" w14:textId="77777777" w:rsidR="00013B5D" w:rsidRPr="00636F9A" w:rsidRDefault="00013B5D" w:rsidP="00805986">
            <w:pPr>
              <w:cnfStyle w:val="100000000000" w:firstRow="1" w:lastRow="0" w:firstColumn="0" w:lastColumn="0" w:oddVBand="0" w:evenVBand="0" w:oddHBand="0" w:evenHBand="0" w:firstRowFirstColumn="0" w:firstRowLastColumn="0" w:lastRowFirstColumn="0" w:lastRowLastColumn="0"/>
              <w:rPr>
                <w:rFonts w:ascii="Aptos" w:eastAsia="Aptos" w:hAnsi="Aptos" w:cs="Arial"/>
                <w:sz w:val="24"/>
                <w:szCs w:val="24"/>
              </w:rPr>
            </w:pPr>
            <w:r w:rsidRPr="00636F9A">
              <w:rPr>
                <w:rFonts w:ascii="Aptos" w:eastAsia="Aptos" w:hAnsi="Aptos" w:cs="Arial"/>
                <w:sz w:val="24"/>
                <w:szCs w:val="24"/>
              </w:rPr>
              <w:t>University %</w:t>
            </w:r>
          </w:p>
        </w:tc>
        <w:tc>
          <w:tcPr>
            <w:tcW w:w="2105" w:type="dxa"/>
          </w:tcPr>
          <w:p w14:paraId="5A841B59" w14:textId="77777777" w:rsidR="00013B5D" w:rsidRPr="00636F9A" w:rsidRDefault="00013B5D" w:rsidP="00805986">
            <w:pPr>
              <w:cnfStyle w:val="100000000000" w:firstRow="1" w:lastRow="0" w:firstColumn="0" w:lastColumn="0" w:oddVBand="0" w:evenVBand="0" w:oddHBand="0" w:evenHBand="0" w:firstRowFirstColumn="0" w:firstRowLastColumn="0" w:lastRowFirstColumn="0" w:lastRowLastColumn="0"/>
              <w:rPr>
                <w:rFonts w:ascii="Aptos" w:eastAsia="Aptos" w:hAnsi="Aptos" w:cs="Arial"/>
                <w:sz w:val="24"/>
                <w:szCs w:val="24"/>
              </w:rPr>
            </w:pPr>
            <w:r w:rsidRPr="00636F9A">
              <w:rPr>
                <w:rFonts w:ascii="Aptos" w:eastAsia="Aptos" w:hAnsi="Aptos" w:cs="Arial"/>
                <w:sz w:val="24"/>
                <w:szCs w:val="24"/>
              </w:rPr>
              <w:t>VS Applicants %</w:t>
            </w:r>
          </w:p>
        </w:tc>
        <w:tc>
          <w:tcPr>
            <w:tcW w:w="2070" w:type="dxa"/>
          </w:tcPr>
          <w:p w14:paraId="191A1474" w14:textId="77777777" w:rsidR="00013B5D" w:rsidRPr="00636F9A" w:rsidRDefault="00013B5D" w:rsidP="00805986">
            <w:pPr>
              <w:cnfStyle w:val="100000000000" w:firstRow="1" w:lastRow="0" w:firstColumn="0" w:lastColumn="0" w:oddVBand="0" w:evenVBand="0" w:oddHBand="0" w:evenHBand="0" w:firstRowFirstColumn="0" w:firstRowLastColumn="0" w:lastRowFirstColumn="0" w:lastRowLastColumn="0"/>
              <w:rPr>
                <w:rFonts w:ascii="Aptos" w:eastAsia="Aptos" w:hAnsi="Aptos" w:cs="Arial"/>
                <w:sz w:val="24"/>
                <w:szCs w:val="24"/>
              </w:rPr>
            </w:pPr>
            <w:r w:rsidRPr="00636F9A">
              <w:rPr>
                <w:rFonts w:ascii="Aptos" w:eastAsia="Aptos" w:hAnsi="Aptos" w:cs="Arial"/>
                <w:sz w:val="24"/>
                <w:szCs w:val="24"/>
              </w:rPr>
              <w:t>% Approved</w:t>
            </w:r>
          </w:p>
        </w:tc>
        <w:tc>
          <w:tcPr>
            <w:tcW w:w="2070" w:type="dxa"/>
          </w:tcPr>
          <w:p w14:paraId="188F67EE" w14:textId="77777777" w:rsidR="00013B5D" w:rsidRPr="00636F9A" w:rsidRDefault="00013B5D" w:rsidP="00805986">
            <w:pPr>
              <w:cnfStyle w:val="100000000000" w:firstRow="1" w:lastRow="0" w:firstColumn="0" w:lastColumn="0" w:oddVBand="0" w:evenVBand="0" w:oddHBand="0" w:evenHBand="0" w:firstRowFirstColumn="0" w:firstRowLastColumn="0" w:lastRowFirstColumn="0" w:lastRowLastColumn="0"/>
              <w:rPr>
                <w:rFonts w:ascii="Aptos" w:eastAsia="Aptos" w:hAnsi="Aptos" w:cs="Arial"/>
                <w:sz w:val="24"/>
                <w:szCs w:val="24"/>
              </w:rPr>
            </w:pPr>
            <w:r w:rsidRPr="00636F9A">
              <w:rPr>
                <w:rFonts w:ascii="Aptos" w:eastAsia="Aptos" w:hAnsi="Aptos" w:cs="Arial"/>
                <w:sz w:val="24"/>
                <w:szCs w:val="24"/>
              </w:rPr>
              <w:t>% Rejected</w:t>
            </w:r>
          </w:p>
        </w:tc>
      </w:tr>
      <w:tr w:rsidR="00013B5D" w:rsidRPr="00636F9A" w14:paraId="380C4DAE" w14:textId="77777777" w:rsidTr="008059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3" w:type="dxa"/>
          </w:tcPr>
          <w:p w14:paraId="2CF6910C" w14:textId="77777777" w:rsidR="00013B5D" w:rsidRPr="00636F9A" w:rsidRDefault="00013B5D" w:rsidP="00805986">
            <w:pPr>
              <w:rPr>
                <w:rFonts w:ascii="Aptos" w:eastAsia="Aptos" w:hAnsi="Aptos" w:cs="Arial"/>
                <w:sz w:val="24"/>
                <w:szCs w:val="24"/>
              </w:rPr>
            </w:pPr>
            <w:r w:rsidRPr="00636F9A">
              <w:rPr>
                <w:rFonts w:ascii="Aptos" w:eastAsia="Aptos" w:hAnsi="Aptos" w:cs="Arial"/>
                <w:sz w:val="24"/>
                <w:szCs w:val="24"/>
              </w:rPr>
              <w:t>LGB+</w:t>
            </w:r>
          </w:p>
        </w:tc>
        <w:tc>
          <w:tcPr>
            <w:tcW w:w="1828" w:type="dxa"/>
          </w:tcPr>
          <w:p w14:paraId="0A27426B" w14:textId="77777777" w:rsidR="00013B5D" w:rsidRPr="00636F9A" w:rsidRDefault="00013B5D" w:rsidP="00805986">
            <w:pPr>
              <w:cnfStyle w:val="000000100000" w:firstRow="0" w:lastRow="0" w:firstColumn="0" w:lastColumn="0" w:oddVBand="0" w:evenVBand="0" w:oddHBand="1" w:evenHBand="0" w:firstRowFirstColumn="0" w:firstRowLastColumn="0" w:lastRowFirstColumn="0" w:lastRowLastColumn="0"/>
              <w:rPr>
                <w:rFonts w:ascii="Aptos" w:eastAsia="Aptos" w:hAnsi="Aptos" w:cs="Arial"/>
                <w:sz w:val="24"/>
                <w:szCs w:val="24"/>
              </w:rPr>
            </w:pPr>
            <w:r w:rsidRPr="00636F9A">
              <w:rPr>
                <w:rFonts w:ascii="Aptos" w:eastAsia="Aptos" w:hAnsi="Aptos" w:cs="Arial"/>
                <w:sz w:val="24"/>
                <w:szCs w:val="24"/>
              </w:rPr>
              <w:t>6.8</w:t>
            </w:r>
          </w:p>
        </w:tc>
        <w:tc>
          <w:tcPr>
            <w:tcW w:w="2105" w:type="dxa"/>
          </w:tcPr>
          <w:p w14:paraId="1F2BBA2C" w14:textId="77777777" w:rsidR="00013B5D" w:rsidRPr="00636F9A" w:rsidRDefault="00013B5D" w:rsidP="00805986">
            <w:pPr>
              <w:cnfStyle w:val="000000100000" w:firstRow="0" w:lastRow="0" w:firstColumn="0" w:lastColumn="0" w:oddVBand="0" w:evenVBand="0" w:oddHBand="1" w:evenHBand="0" w:firstRowFirstColumn="0" w:firstRowLastColumn="0" w:lastRowFirstColumn="0" w:lastRowLastColumn="0"/>
              <w:rPr>
                <w:rFonts w:ascii="Aptos" w:eastAsia="Aptos" w:hAnsi="Aptos" w:cs="Arial"/>
                <w:sz w:val="24"/>
                <w:szCs w:val="24"/>
              </w:rPr>
            </w:pPr>
            <w:r w:rsidRPr="00636F9A">
              <w:rPr>
                <w:rFonts w:ascii="Aptos" w:eastAsia="Aptos" w:hAnsi="Aptos" w:cs="Arial"/>
                <w:sz w:val="24"/>
                <w:szCs w:val="24"/>
              </w:rPr>
              <w:t>4.9</w:t>
            </w:r>
          </w:p>
        </w:tc>
        <w:tc>
          <w:tcPr>
            <w:tcW w:w="2070" w:type="dxa"/>
          </w:tcPr>
          <w:p w14:paraId="6B91DF68" w14:textId="77777777" w:rsidR="00013B5D" w:rsidRPr="00636F9A" w:rsidRDefault="00013B5D" w:rsidP="00805986">
            <w:pPr>
              <w:cnfStyle w:val="000000100000" w:firstRow="0" w:lastRow="0" w:firstColumn="0" w:lastColumn="0" w:oddVBand="0" w:evenVBand="0" w:oddHBand="1" w:evenHBand="0" w:firstRowFirstColumn="0" w:firstRowLastColumn="0" w:lastRowFirstColumn="0" w:lastRowLastColumn="0"/>
              <w:rPr>
                <w:rFonts w:ascii="Aptos" w:eastAsia="Aptos" w:hAnsi="Aptos" w:cs="Arial"/>
                <w:sz w:val="24"/>
                <w:szCs w:val="24"/>
              </w:rPr>
            </w:pPr>
            <w:r w:rsidRPr="00636F9A">
              <w:rPr>
                <w:rFonts w:ascii="Aptos" w:eastAsia="Aptos" w:hAnsi="Aptos" w:cs="Arial"/>
                <w:sz w:val="24"/>
                <w:szCs w:val="24"/>
              </w:rPr>
              <w:t>3.8</w:t>
            </w:r>
          </w:p>
        </w:tc>
        <w:tc>
          <w:tcPr>
            <w:tcW w:w="2070" w:type="dxa"/>
          </w:tcPr>
          <w:p w14:paraId="5634862D" w14:textId="77777777" w:rsidR="00013B5D" w:rsidRPr="00636F9A" w:rsidRDefault="00013B5D" w:rsidP="00805986">
            <w:pPr>
              <w:cnfStyle w:val="000000100000" w:firstRow="0" w:lastRow="0" w:firstColumn="0" w:lastColumn="0" w:oddVBand="0" w:evenVBand="0" w:oddHBand="1" w:evenHBand="0" w:firstRowFirstColumn="0" w:firstRowLastColumn="0" w:lastRowFirstColumn="0" w:lastRowLastColumn="0"/>
              <w:rPr>
                <w:rFonts w:ascii="Aptos" w:eastAsia="Aptos" w:hAnsi="Aptos" w:cs="Arial"/>
                <w:sz w:val="24"/>
                <w:szCs w:val="24"/>
              </w:rPr>
            </w:pPr>
            <w:r w:rsidRPr="00636F9A">
              <w:rPr>
                <w:rFonts w:ascii="Aptos" w:eastAsia="Aptos" w:hAnsi="Aptos" w:cs="Arial"/>
                <w:sz w:val="24"/>
                <w:szCs w:val="24"/>
              </w:rPr>
              <w:t>7.4</w:t>
            </w:r>
          </w:p>
        </w:tc>
      </w:tr>
      <w:tr w:rsidR="00013B5D" w:rsidRPr="00636F9A" w14:paraId="6917F260" w14:textId="77777777" w:rsidTr="00805986">
        <w:tc>
          <w:tcPr>
            <w:cnfStyle w:val="001000000000" w:firstRow="0" w:lastRow="0" w:firstColumn="1" w:lastColumn="0" w:oddVBand="0" w:evenVBand="0" w:oddHBand="0" w:evenHBand="0" w:firstRowFirstColumn="0" w:firstRowLastColumn="0" w:lastRowFirstColumn="0" w:lastRowLastColumn="0"/>
            <w:tcW w:w="2383" w:type="dxa"/>
          </w:tcPr>
          <w:p w14:paraId="4B0CE42D" w14:textId="77777777" w:rsidR="00013B5D" w:rsidRPr="00636F9A" w:rsidRDefault="00013B5D" w:rsidP="00805986">
            <w:pPr>
              <w:rPr>
                <w:rFonts w:ascii="Aptos" w:eastAsia="Aptos" w:hAnsi="Aptos" w:cs="Arial"/>
                <w:sz w:val="24"/>
                <w:szCs w:val="24"/>
              </w:rPr>
            </w:pPr>
            <w:r w:rsidRPr="00636F9A">
              <w:rPr>
                <w:rFonts w:ascii="Aptos" w:eastAsia="Aptos" w:hAnsi="Aptos" w:cs="Arial"/>
                <w:sz w:val="24"/>
                <w:szCs w:val="24"/>
              </w:rPr>
              <w:t>Heterosexual</w:t>
            </w:r>
          </w:p>
        </w:tc>
        <w:tc>
          <w:tcPr>
            <w:tcW w:w="1828" w:type="dxa"/>
          </w:tcPr>
          <w:p w14:paraId="489A75A1" w14:textId="77777777" w:rsidR="00013B5D" w:rsidRPr="00636F9A" w:rsidRDefault="00013B5D" w:rsidP="00805986">
            <w:pPr>
              <w:cnfStyle w:val="000000000000" w:firstRow="0" w:lastRow="0" w:firstColumn="0" w:lastColumn="0" w:oddVBand="0" w:evenVBand="0" w:oddHBand="0" w:evenHBand="0" w:firstRowFirstColumn="0" w:firstRowLastColumn="0" w:lastRowFirstColumn="0" w:lastRowLastColumn="0"/>
              <w:rPr>
                <w:rFonts w:ascii="Aptos" w:eastAsia="Aptos" w:hAnsi="Aptos" w:cs="Arial"/>
                <w:sz w:val="24"/>
                <w:szCs w:val="24"/>
              </w:rPr>
            </w:pPr>
            <w:r w:rsidRPr="00636F9A">
              <w:rPr>
                <w:rFonts w:ascii="Aptos" w:eastAsia="Aptos" w:hAnsi="Aptos" w:cs="Arial"/>
                <w:sz w:val="24"/>
                <w:szCs w:val="24"/>
              </w:rPr>
              <w:t>65.2</w:t>
            </w:r>
          </w:p>
        </w:tc>
        <w:tc>
          <w:tcPr>
            <w:tcW w:w="2105" w:type="dxa"/>
          </w:tcPr>
          <w:p w14:paraId="689F6ED0" w14:textId="77777777" w:rsidR="00013B5D" w:rsidRPr="00636F9A" w:rsidRDefault="00013B5D" w:rsidP="00805986">
            <w:pPr>
              <w:cnfStyle w:val="000000000000" w:firstRow="0" w:lastRow="0" w:firstColumn="0" w:lastColumn="0" w:oddVBand="0" w:evenVBand="0" w:oddHBand="0" w:evenHBand="0" w:firstRowFirstColumn="0" w:firstRowLastColumn="0" w:lastRowFirstColumn="0" w:lastRowLastColumn="0"/>
              <w:rPr>
                <w:rFonts w:ascii="Aptos" w:eastAsia="Aptos" w:hAnsi="Aptos" w:cs="Arial"/>
                <w:sz w:val="24"/>
                <w:szCs w:val="24"/>
              </w:rPr>
            </w:pPr>
            <w:r w:rsidRPr="00636F9A">
              <w:rPr>
                <w:rFonts w:ascii="Aptos" w:eastAsia="Aptos" w:hAnsi="Aptos" w:cs="Arial"/>
                <w:sz w:val="24"/>
                <w:szCs w:val="24"/>
              </w:rPr>
              <w:t>65.9</w:t>
            </w:r>
          </w:p>
        </w:tc>
        <w:tc>
          <w:tcPr>
            <w:tcW w:w="2070" w:type="dxa"/>
          </w:tcPr>
          <w:p w14:paraId="476B0CC9" w14:textId="77777777" w:rsidR="00013B5D" w:rsidRPr="00636F9A" w:rsidRDefault="00013B5D" w:rsidP="00805986">
            <w:pPr>
              <w:cnfStyle w:val="000000000000" w:firstRow="0" w:lastRow="0" w:firstColumn="0" w:lastColumn="0" w:oddVBand="0" w:evenVBand="0" w:oddHBand="0" w:evenHBand="0" w:firstRowFirstColumn="0" w:firstRowLastColumn="0" w:lastRowFirstColumn="0" w:lastRowLastColumn="0"/>
              <w:rPr>
                <w:rFonts w:ascii="Aptos" w:eastAsia="Aptos" w:hAnsi="Aptos" w:cs="Arial"/>
                <w:sz w:val="24"/>
                <w:szCs w:val="24"/>
              </w:rPr>
            </w:pPr>
            <w:r w:rsidRPr="00636F9A">
              <w:rPr>
                <w:rFonts w:ascii="Aptos" w:eastAsia="Aptos" w:hAnsi="Aptos" w:cs="Arial"/>
                <w:sz w:val="24"/>
                <w:szCs w:val="24"/>
              </w:rPr>
              <w:t>6</w:t>
            </w:r>
            <w:r>
              <w:rPr>
                <w:rFonts w:ascii="Aptos" w:eastAsia="Aptos" w:hAnsi="Aptos" w:cs="Arial"/>
                <w:sz w:val="24"/>
                <w:szCs w:val="24"/>
              </w:rPr>
              <w:t>6.9</w:t>
            </w:r>
          </w:p>
        </w:tc>
        <w:tc>
          <w:tcPr>
            <w:tcW w:w="2070" w:type="dxa"/>
          </w:tcPr>
          <w:p w14:paraId="70D65215" w14:textId="77777777" w:rsidR="00013B5D" w:rsidRPr="00636F9A" w:rsidRDefault="00013B5D" w:rsidP="00805986">
            <w:pPr>
              <w:cnfStyle w:val="000000000000" w:firstRow="0" w:lastRow="0" w:firstColumn="0" w:lastColumn="0" w:oddVBand="0" w:evenVBand="0" w:oddHBand="0" w:evenHBand="0" w:firstRowFirstColumn="0" w:firstRowLastColumn="0" w:lastRowFirstColumn="0" w:lastRowLastColumn="0"/>
              <w:rPr>
                <w:rFonts w:ascii="Aptos" w:eastAsia="Aptos" w:hAnsi="Aptos" w:cs="Arial"/>
                <w:sz w:val="24"/>
                <w:szCs w:val="24"/>
              </w:rPr>
            </w:pPr>
            <w:r w:rsidRPr="00636F9A">
              <w:rPr>
                <w:rFonts w:ascii="Aptos" w:eastAsia="Aptos" w:hAnsi="Aptos" w:cs="Arial"/>
                <w:sz w:val="24"/>
                <w:szCs w:val="24"/>
              </w:rPr>
              <w:t>63.9</w:t>
            </w:r>
          </w:p>
        </w:tc>
      </w:tr>
      <w:tr w:rsidR="00013B5D" w:rsidRPr="00636F9A" w14:paraId="58D74C34" w14:textId="77777777" w:rsidTr="008059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3" w:type="dxa"/>
          </w:tcPr>
          <w:p w14:paraId="56BA4BBA" w14:textId="77777777" w:rsidR="00013B5D" w:rsidRPr="00636F9A" w:rsidRDefault="00013B5D" w:rsidP="00805986">
            <w:pPr>
              <w:rPr>
                <w:rFonts w:ascii="Aptos" w:eastAsia="Aptos" w:hAnsi="Aptos" w:cs="Arial"/>
                <w:sz w:val="24"/>
                <w:szCs w:val="24"/>
              </w:rPr>
            </w:pPr>
            <w:r w:rsidRPr="00636F9A">
              <w:rPr>
                <w:rFonts w:ascii="Aptos" w:eastAsia="Aptos" w:hAnsi="Aptos" w:cs="Arial"/>
                <w:sz w:val="24"/>
                <w:szCs w:val="24"/>
              </w:rPr>
              <w:t>Unknown</w:t>
            </w:r>
          </w:p>
        </w:tc>
        <w:tc>
          <w:tcPr>
            <w:tcW w:w="1828" w:type="dxa"/>
          </w:tcPr>
          <w:p w14:paraId="43F80C44" w14:textId="77777777" w:rsidR="00013B5D" w:rsidRPr="00636F9A" w:rsidRDefault="00013B5D" w:rsidP="00805986">
            <w:pPr>
              <w:cnfStyle w:val="000000100000" w:firstRow="0" w:lastRow="0" w:firstColumn="0" w:lastColumn="0" w:oddVBand="0" w:evenVBand="0" w:oddHBand="1" w:evenHBand="0" w:firstRowFirstColumn="0" w:firstRowLastColumn="0" w:lastRowFirstColumn="0" w:lastRowLastColumn="0"/>
              <w:rPr>
                <w:rFonts w:ascii="Aptos" w:eastAsia="Aptos" w:hAnsi="Aptos" w:cs="Arial"/>
                <w:sz w:val="24"/>
                <w:szCs w:val="24"/>
              </w:rPr>
            </w:pPr>
            <w:r w:rsidRPr="00636F9A">
              <w:rPr>
                <w:rFonts w:ascii="Aptos" w:eastAsia="Aptos" w:hAnsi="Aptos" w:cs="Arial"/>
                <w:sz w:val="24"/>
                <w:szCs w:val="24"/>
              </w:rPr>
              <w:t>27.9</w:t>
            </w:r>
          </w:p>
        </w:tc>
        <w:tc>
          <w:tcPr>
            <w:tcW w:w="2105" w:type="dxa"/>
          </w:tcPr>
          <w:p w14:paraId="1DFB638C" w14:textId="77777777" w:rsidR="00013B5D" w:rsidRPr="00636F9A" w:rsidRDefault="00013B5D" w:rsidP="00805986">
            <w:pPr>
              <w:cnfStyle w:val="000000100000" w:firstRow="0" w:lastRow="0" w:firstColumn="0" w:lastColumn="0" w:oddVBand="0" w:evenVBand="0" w:oddHBand="1" w:evenHBand="0" w:firstRowFirstColumn="0" w:firstRowLastColumn="0" w:lastRowFirstColumn="0" w:lastRowLastColumn="0"/>
              <w:rPr>
                <w:rFonts w:ascii="Aptos" w:eastAsia="Aptos" w:hAnsi="Aptos" w:cs="Arial"/>
                <w:sz w:val="24"/>
                <w:szCs w:val="24"/>
              </w:rPr>
            </w:pPr>
            <w:r w:rsidRPr="00636F9A">
              <w:rPr>
                <w:rFonts w:ascii="Aptos" w:eastAsia="Aptos" w:hAnsi="Aptos" w:cs="Arial"/>
                <w:sz w:val="24"/>
                <w:szCs w:val="24"/>
              </w:rPr>
              <w:t>29.2</w:t>
            </w:r>
          </w:p>
        </w:tc>
        <w:tc>
          <w:tcPr>
            <w:tcW w:w="2070" w:type="dxa"/>
          </w:tcPr>
          <w:p w14:paraId="5026B957" w14:textId="77777777" w:rsidR="00013B5D" w:rsidRPr="00636F9A" w:rsidRDefault="00013B5D" w:rsidP="00805986">
            <w:pPr>
              <w:cnfStyle w:val="000000100000" w:firstRow="0" w:lastRow="0" w:firstColumn="0" w:lastColumn="0" w:oddVBand="0" w:evenVBand="0" w:oddHBand="1" w:evenHBand="0" w:firstRowFirstColumn="0" w:firstRowLastColumn="0" w:lastRowFirstColumn="0" w:lastRowLastColumn="0"/>
              <w:rPr>
                <w:rFonts w:ascii="Aptos" w:eastAsia="Aptos" w:hAnsi="Aptos" w:cs="Arial"/>
                <w:sz w:val="24"/>
                <w:szCs w:val="24"/>
              </w:rPr>
            </w:pPr>
            <w:r w:rsidRPr="00636F9A">
              <w:rPr>
                <w:rFonts w:ascii="Aptos" w:eastAsia="Aptos" w:hAnsi="Aptos" w:cs="Arial"/>
                <w:sz w:val="24"/>
                <w:szCs w:val="24"/>
              </w:rPr>
              <w:t>29.</w:t>
            </w:r>
            <w:r>
              <w:rPr>
                <w:rFonts w:ascii="Aptos" w:eastAsia="Aptos" w:hAnsi="Aptos" w:cs="Arial"/>
                <w:sz w:val="24"/>
                <w:szCs w:val="24"/>
              </w:rPr>
              <w:t>3</w:t>
            </w:r>
          </w:p>
        </w:tc>
        <w:tc>
          <w:tcPr>
            <w:tcW w:w="2070" w:type="dxa"/>
          </w:tcPr>
          <w:p w14:paraId="78A12362" w14:textId="77777777" w:rsidR="00013B5D" w:rsidRPr="00636F9A" w:rsidRDefault="00013B5D" w:rsidP="00805986">
            <w:pPr>
              <w:cnfStyle w:val="000000100000" w:firstRow="0" w:lastRow="0" w:firstColumn="0" w:lastColumn="0" w:oddVBand="0" w:evenVBand="0" w:oddHBand="1" w:evenHBand="0" w:firstRowFirstColumn="0" w:firstRowLastColumn="0" w:lastRowFirstColumn="0" w:lastRowLastColumn="0"/>
              <w:rPr>
                <w:rFonts w:ascii="Aptos" w:eastAsia="Aptos" w:hAnsi="Aptos" w:cs="Arial"/>
                <w:sz w:val="24"/>
                <w:szCs w:val="24"/>
              </w:rPr>
            </w:pPr>
            <w:r w:rsidRPr="00636F9A">
              <w:rPr>
                <w:rFonts w:ascii="Aptos" w:eastAsia="Aptos" w:hAnsi="Aptos" w:cs="Arial"/>
                <w:sz w:val="24"/>
                <w:szCs w:val="24"/>
              </w:rPr>
              <w:t>28.7</w:t>
            </w:r>
          </w:p>
        </w:tc>
      </w:tr>
    </w:tbl>
    <w:p w14:paraId="56934C6B" w14:textId="77777777" w:rsidR="00013B5D" w:rsidRPr="00636F9A" w:rsidRDefault="00013B5D" w:rsidP="00013B5D">
      <w:pPr>
        <w:rPr>
          <w:rFonts w:ascii="Aptos" w:eastAsia="Aptos" w:hAnsi="Aptos" w:cs="Arial"/>
          <w:sz w:val="24"/>
          <w:szCs w:val="24"/>
        </w:rPr>
      </w:pPr>
    </w:p>
    <w:p w14:paraId="6BE7836E" w14:textId="77777777" w:rsidR="00013B5D" w:rsidRPr="00636F9A" w:rsidRDefault="00013B5D" w:rsidP="00013B5D">
      <w:pPr>
        <w:rPr>
          <w:rFonts w:ascii="Aptos" w:eastAsia="Aptos" w:hAnsi="Aptos" w:cs="Arial"/>
          <w:sz w:val="24"/>
          <w:szCs w:val="24"/>
        </w:rPr>
      </w:pPr>
      <w:r w:rsidRPr="00636F9A">
        <w:rPr>
          <w:rFonts w:ascii="Aptos" w:eastAsia="Aptos" w:hAnsi="Aptos" w:cs="Arial"/>
          <w:sz w:val="24"/>
          <w:szCs w:val="24"/>
        </w:rPr>
        <w:t>By 1.9%, there is a lower proportion of LGB+ applying for VS than the University benchmark. All other categories are similarly aligned with the University benchmark. The approval rates, drop again by over 1% for LGB+ staff. It is unclear why this is lower, but as the numbers are small it would be difficult to draw any definite conclusions.</w:t>
      </w:r>
    </w:p>
    <w:p w14:paraId="33CF3EEA" w14:textId="1C16CFB1" w:rsidR="00274B72" w:rsidRDefault="006F150A" w:rsidP="006F150A">
      <w:pPr>
        <w:pStyle w:val="Heading3"/>
        <w:ind w:left="360"/>
      </w:pPr>
      <w:r>
        <w:t xml:space="preserve">5. </w:t>
      </w:r>
      <w:r w:rsidR="00FA53C8">
        <w:t>Conclusion</w:t>
      </w:r>
    </w:p>
    <w:p w14:paraId="39EA4074" w14:textId="0E6A9C2C" w:rsidR="000F4E56" w:rsidRDefault="00533AF1" w:rsidP="00A03359">
      <w:pPr>
        <w:rPr>
          <w:sz w:val="24"/>
          <w:szCs w:val="24"/>
        </w:rPr>
      </w:pPr>
      <w:r>
        <w:rPr>
          <w:sz w:val="24"/>
          <w:szCs w:val="24"/>
        </w:rPr>
        <w:t>Against the University benchmark</w:t>
      </w:r>
      <w:r w:rsidR="00E15948" w:rsidRPr="000F4E56">
        <w:rPr>
          <w:sz w:val="24"/>
          <w:szCs w:val="24"/>
        </w:rPr>
        <w:t xml:space="preserve"> the </w:t>
      </w:r>
      <w:r w:rsidR="000C5A56">
        <w:rPr>
          <w:sz w:val="24"/>
          <w:szCs w:val="24"/>
        </w:rPr>
        <w:t xml:space="preserve">impact </w:t>
      </w:r>
      <w:r w:rsidR="00E15948" w:rsidRPr="000F4E56">
        <w:rPr>
          <w:sz w:val="24"/>
          <w:szCs w:val="24"/>
        </w:rPr>
        <w:t>of staff applying</w:t>
      </w:r>
      <w:r>
        <w:rPr>
          <w:sz w:val="24"/>
          <w:szCs w:val="24"/>
        </w:rPr>
        <w:t xml:space="preserve"> and receiving approval</w:t>
      </w:r>
      <w:r w:rsidR="00E15948" w:rsidRPr="000F4E56">
        <w:rPr>
          <w:sz w:val="24"/>
          <w:szCs w:val="24"/>
        </w:rPr>
        <w:t xml:space="preserve"> for VS</w:t>
      </w:r>
      <w:r w:rsidR="00170C7E" w:rsidRPr="000F4E56">
        <w:rPr>
          <w:sz w:val="24"/>
          <w:szCs w:val="24"/>
        </w:rPr>
        <w:t xml:space="preserve"> are for older age ranges and females. </w:t>
      </w:r>
      <w:r w:rsidR="000B60DE" w:rsidRPr="000F4E56">
        <w:rPr>
          <w:sz w:val="24"/>
          <w:szCs w:val="24"/>
        </w:rPr>
        <w:t xml:space="preserve">It is notable that the application and approval rates for staff </w:t>
      </w:r>
      <w:r w:rsidR="00130BC0" w:rsidRPr="000F4E56">
        <w:rPr>
          <w:sz w:val="24"/>
          <w:szCs w:val="24"/>
        </w:rPr>
        <w:t xml:space="preserve">who are 51+ are higher than those under 50. For sex, the approval rates match the application </w:t>
      </w:r>
      <w:r w:rsidR="00A1187A" w:rsidRPr="000F4E56">
        <w:rPr>
          <w:sz w:val="24"/>
          <w:szCs w:val="24"/>
        </w:rPr>
        <w:t>rates and</w:t>
      </w:r>
      <w:r w:rsidR="00130BC0" w:rsidRPr="000F4E56">
        <w:rPr>
          <w:sz w:val="24"/>
          <w:szCs w:val="24"/>
        </w:rPr>
        <w:t xml:space="preserve"> </w:t>
      </w:r>
      <w:r w:rsidR="005D4CE4" w:rsidRPr="000F4E56">
        <w:rPr>
          <w:sz w:val="24"/>
          <w:szCs w:val="24"/>
        </w:rPr>
        <w:t xml:space="preserve">are </w:t>
      </w:r>
      <w:r w:rsidR="00130BC0" w:rsidRPr="000F4E56">
        <w:rPr>
          <w:sz w:val="24"/>
          <w:szCs w:val="24"/>
        </w:rPr>
        <w:t>higher for females</w:t>
      </w:r>
      <w:r w:rsidR="007E1CBE">
        <w:rPr>
          <w:sz w:val="24"/>
          <w:szCs w:val="24"/>
        </w:rPr>
        <w:t xml:space="preserve"> when compared to</w:t>
      </w:r>
      <w:r w:rsidR="00130BC0" w:rsidRPr="000F4E56">
        <w:rPr>
          <w:sz w:val="24"/>
          <w:szCs w:val="24"/>
        </w:rPr>
        <w:t xml:space="preserve"> males. </w:t>
      </w:r>
    </w:p>
    <w:p w14:paraId="4F729E03" w14:textId="6468F258" w:rsidR="005D4CE4" w:rsidRDefault="00130BC0" w:rsidP="00A03359">
      <w:pPr>
        <w:rPr>
          <w:sz w:val="24"/>
          <w:szCs w:val="24"/>
        </w:rPr>
      </w:pPr>
      <w:r w:rsidRPr="000F4E56">
        <w:rPr>
          <w:sz w:val="24"/>
          <w:szCs w:val="24"/>
        </w:rPr>
        <w:t xml:space="preserve">Considering this </w:t>
      </w:r>
      <w:r w:rsidR="00FF4BF0" w:rsidRPr="000F4E56">
        <w:rPr>
          <w:sz w:val="24"/>
          <w:szCs w:val="24"/>
        </w:rPr>
        <w:t>in more detail, there were a higher percentage of Professional Service staff</w:t>
      </w:r>
      <w:r w:rsidR="00E1520C" w:rsidRPr="000F4E56">
        <w:rPr>
          <w:sz w:val="24"/>
          <w:szCs w:val="24"/>
        </w:rPr>
        <w:t xml:space="preserve"> who applied for VS, when compared to academic staff. </w:t>
      </w:r>
      <w:r w:rsidR="000F4E56">
        <w:rPr>
          <w:sz w:val="24"/>
          <w:szCs w:val="24"/>
        </w:rPr>
        <w:t>T</w:t>
      </w:r>
      <w:r w:rsidR="005D4EE4" w:rsidRPr="000F4E56">
        <w:rPr>
          <w:sz w:val="24"/>
          <w:szCs w:val="24"/>
        </w:rPr>
        <w:t xml:space="preserve">he notable impact for </w:t>
      </w:r>
      <w:r w:rsidR="00626950">
        <w:rPr>
          <w:sz w:val="24"/>
          <w:szCs w:val="24"/>
        </w:rPr>
        <w:t>EIA</w:t>
      </w:r>
      <w:r w:rsidR="005D4EE4" w:rsidRPr="000F4E56">
        <w:rPr>
          <w:sz w:val="24"/>
          <w:szCs w:val="24"/>
        </w:rPr>
        <w:t xml:space="preserve"> purposes is that </w:t>
      </w:r>
      <w:r w:rsidR="00A13380" w:rsidRPr="000F4E56">
        <w:rPr>
          <w:sz w:val="24"/>
          <w:szCs w:val="24"/>
        </w:rPr>
        <w:t>PS staff are more likely to be female,</w:t>
      </w:r>
      <w:r w:rsidR="00FA3E25" w:rsidRPr="000F4E56">
        <w:rPr>
          <w:sz w:val="24"/>
          <w:szCs w:val="24"/>
        </w:rPr>
        <w:t xml:space="preserve"> and therefore</w:t>
      </w:r>
      <w:r w:rsidR="00566BD6">
        <w:rPr>
          <w:sz w:val="24"/>
          <w:szCs w:val="24"/>
        </w:rPr>
        <w:t xml:space="preserve"> the approval rate for females is </w:t>
      </w:r>
      <w:r w:rsidR="00AF6819">
        <w:rPr>
          <w:sz w:val="24"/>
          <w:szCs w:val="24"/>
        </w:rPr>
        <w:t>8.1% higher than the University benchmark</w:t>
      </w:r>
      <w:r w:rsidR="001E4E29">
        <w:rPr>
          <w:sz w:val="24"/>
          <w:szCs w:val="24"/>
        </w:rPr>
        <w:t xml:space="preserve"> (noting the University’s benchmark is majority female)</w:t>
      </w:r>
      <w:r w:rsidR="00AF6819">
        <w:rPr>
          <w:sz w:val="24"/>
          <w:szCs w:val="24"/>
        </w:rPr>
        <w:t>.</w:t>
      </w:r>
      <w:r w:rsidR="00FA3E25" w:rsidRPr="000F4E56">
        <w:rPr>
          <w:sz w:val="24"/>
          <w:szCs w:val="24"/>
        </w:rPr>
        <w:t xml:space="preserve"> </w:t>
      </w:r>
      <w:r w:rsidR="005D4CE4">
        <w:rPr>
          <w:sz w:val="24"/>
          <w:szCs w:val="24"/>
        </w:rPr>
        <w:t>In terms of age</w:t>
      </w:r>
      <w:r w:rsidR="004D65F0">
        <w:rPr>
          <w:sz w:val="24"/>
          <w:szCs w:val="24"/>
        </w:rPr>
        <w:t>, the appeal of VS for those with longer service</w:t>
      </w:r>
      <w:r w:rsidR="00EE328A">
        <w:rPr>
          <w:sz w:val="24"/>
          <w:szCs w:val="24"/>
        </w:rPr>
        <w:t xml:space="preserve"> combined with</w:t>
      </w:r>
      <w:r w:rsidR="004D65F0">
        <w:rPr>
          <w:sz w:val="24"/>
          <w:szCs w:val="24"/>
        </w:rPr>
        <w:t xml:space="preserve"> their life/career stage is more likely to appeal to staff </w:t>
      </w:r>
      <w:r w:rsidR="008675E2">
        <w:rPr>
          <w:sz w:val="24"/>
          <w:szCs w:val="24"/>
        </w:rPr>
        <w:t>in the 51+ age range.</w:t>
      </w:r>
    </w:p>
    <w:p w14:paraId="6E47C91A" w14:textId="27F85B35" w:rsidR="00824CC0" w:rsidRDefault="008675E2">
      <w:pPr>
        <w:rPr>
          <w:sz w:val="24"/>
          <w:szCs w:val="24"/>
        </w:rPr>
      </w:pPr>
      <w:r>
        <w:rPr>
          <w:sz w:val="24"/>
          <w:szCs w:val="24"/>
        </w:rPr>
        <w:t>To consider the overall impact in the University</w:t>
      </w:r>
      <w:r w:rsidR="00027C7F">
        <w:rPr>
          <w:sz w:val="24"/>
          <w:szCs w:val="24"/>
        </w:rPr>
        <w:t xml:space="preserve">’s diversity data, it is anticipated when completing the University’s Diversity Data report for this session, </w:t>
      </w:r>
      <w:r w:rsidR="006A70B7">
        <w:rPr>
          <w:sz w:val="24"/>
          <w:szCs w:val="24"/>
        </w:rPr>
        <w:t>it will be note</w:t>
      </w:r>
      <w:r w:rsidR="00886E67">
        <w:rPr>
          <w:sz w:val="24"/>
          <w:szCs w:val="24"/>
        </w:rPr>
        <w:t>d</w:t>
      </w:r>
      <w:r w:rsidR="00824CC0">
        <w:rPr>
          <w:sz w:val="24"/>
          <w:szCs w:val="24"/>
        </w:rPr>
        <w:t>:</w:t>
      </w:r>
      <w:r w:rsidR="006A70B7">
        <w:rPr>
          <w:sz w:val="24"/>
          <w:szCs w:val="24"/>
        </w:rPr>
        <w:t xml:space="preserve"> </w:t>
      </w:r>
    </w:p>
    <w:p w14:paraId="642AB366" w14:textId="54034C9A" w:rsidR="009023D6" w:rsidRPr="00CF170A" w:rsidRDefault="00CF170A" w:rsidP="00CF170A">
      <w:pPr>
        <w:pStyle w:val="ListParagraph"/>
        <w:numPr>
          <w:ilvl w:val="0"/>
          <w:numId w:val="12"/>
        </w:numPr>
        <w:rPr>
          <w:sz w:val="24"/>
          <w:szCs w:val="24"/>
        </w:rPr>
      </w:pPr>
      <w:r w:rsidRPr="00CF170A">
        <w:rPr>
          <w:sz w:val="24"/>
          <w:szCs w:val="24"/>
        </w:rPr>
        <w:t>T</w:t>
      </w:r>
      <w:r w:rsidR="006A70B7" w:rsidRPr="00CF170A">
        <w:rPr>
          <w:sz w:val="24"/>
          <w:szCs w:val="24"/>
        </w:rPr>
        <w:t>he age profile will be slightly shifted to younger profile</w:t>
      </w:r>
    </w:p>
    <w:p w14:paraId="03B21FC2" w14:textId="1BDFC8DE" w:rsidR="00824CC0" w:rsidRDefault="00824CC0" w:rsidP="00CF170A">
      <w:pPr>
        <w:pStyle w:val="ListParagraph"/>
        <w:numPr>
          <w:ilvl w:val="0"/>
          <w:numId w:val="12"/>
        </w:numPr>
        <w:rPr>
          <w:sz w:val="24"/>
          <w:szCs w:val="24"/>
        </w:rPr>
      </w:pPr>
      <w:r w:rsidRPr="00CF170A">
        <w:rPr>
          <w:sz w:val="24"/>
          <w:szCs w:val="24"/>
        </w:rPr>
        <w:t>The balance of the sexes</w:t>
      </w:r>
      <w:r w:rsidR="001E4E29">
        <w:rPr>
          <w:sz w:val="24"/>
          <w:szCs w:val="24"/>
        </w:rPr>
        <w:t xml:space="preserve"> </w:t>
      </w:r>
      <w:r w:rsidRPr="00CF170A">
        <w:rPr>
          <w:sz w:val="24"/>
          <w:szCs w:val="24"/>
        </w:rPr>
        <w:t>may</w:t>
      </w:r>
      <w:r w:rsidR="00CF170A" w:rsidRPr="00CF170A">
        <w:rPr>
          <w:sz w:val="24"/>
          <w:szCs w:val="24"/>
        </w:rPr>
        <w:t xml:space="preserve"> shift slightly, moving towards a more equal profile.</w:t>
      </w:r>
    </w:p>
    <w:p w14:paraId="0D73D0AF" w14:textId="580867BA" w:rsidR="00267318" w:rsidRPr="00267318" w:rsidRDefault="00267318" w:rsidP="00267318">
      <w:pPr>
        <w:rPr>
          <w:sz w:val="24"/>
          <w:szCs w:val="24"/>
        </w:rPr>
      </w:pPr>
      <w:r>
        <w:rPr>
          <w:sz w:val="24"/>
          <w:szCs w:val="24"/>
        </w:rPr>
        <w:t>However, this is an expectation, and there has been natural attrition of staff within the year, and this is not accounted for in this EIA.</w:t>
      </w:r>
    </w:p>
    <w:sectPr w:rsidR="00267318" w:rsidRPr="00267318" w:rsidSect="00B4107B">
      <w:headerReference w:type="even" r:id="rId13"/>
      <w:headerReference w:type="default" r:id="rId14"/>
      <w:footerReference w:type="even" r:id="rId15"/>
      <w:footerReference w:type="default" r:id="rId16"/>
      <w:headerReference w:type="first" r:id="rId17"/>
      <w:footerReference w:type="firs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EE51C" w14:textId="77777777" w:rsidR="00CA6553" w:rsidRDefault="00CA6553" w:rsidP="00712588">
      <w:pPr>
        <w:spacing w:after="0" w:line="240" w:lineRule="auto"/>
      </w:pPr>
      <w:r>
        <w:separator/>
      </w:r>
    </w:p>
  </w:endnote>
  <w:endnote w:type="continuationSeparator" w:id="0">
    <w:p w14:paraId="189A5C1F" w14:textId="77777777" w:rsidR="00CA6553" w:rsidRDefault="00CA6553" w:rsidP="00712588">
      <w:pPr>
        <w:spacing w:after="0" w:line="240" w:lineRule="auto"/>
      </w:pPr>
      <w:r>
        <w:continuationSeparator/>
      </w:r>
    </w:p>
  </w:endnote>
  <w:endnote w:type="continuationNotice" w:id="1">
    <w:p w14:paraId="6E22FE26" w14:textId="77777777" w:rsidR="00CA6553" w:rsidRDefault="00CA65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994DF" w14:textId="77777777" w:rsidR="00B4107B" w:rsidRDefault="00B410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6335798"/>
      <w:docPartObj>
        <w:docPartGallery w:val="Page Numbers (Bottom of Page)"/>
        <w:docPartUnique/>
      </w:docPartObj>
    </w:sdtPr>
    <w:sdtEndPr>
      <w:rPr>
        <w:noProof/>
      </w:rPr>
    </w:sdtEndPr>
    <w:sdtContent>
      <w:p w14:paraId="62430A1B" w14:textId="4F71B8A5" w:rsidR="00712588" w:rsidRDefault="0071258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812DBF9" w14:textId="77777777" w:rsidR="00712588" w:rsidRDefault="007125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FBF19" w14:textId="77777777" w:rsidR="00B4107B" w:rsidRDefault="00B410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D922B" w14:textId="77777777" w:rsidR="00CA6553" w:rsidRDefault="00CA6553" w:rsidP="00712588">
      <w:pPr>
        <w:spacing w:after="0" w:line="240" w:lineRule="auto"/>
      </w:pPr>
      <w:r>
        <w:separator/>
      </w:r>
    </w:p>
  </w:footnote>
  <w:footnote w:type="continuationSeparator" w:id="0">
    <w:p w14:paraId="2DECCF7D" w14:textId="77777777" w:rsidR="00CA6553" w:rsidRDefault="00CA6553" w:rsidP="00712588">
      <w:pPr>
        <w:spacing w:after="0" w:line="240" w:lineRule="auto"/>
      </w:pPr>
      <w:r>
        <w:continuationSeparator/>
      </w:r>
    </w:p>
  </w:footnote>
  <w:footnote w:type="continuationNotice" w:id="1">
    <w:p w14:paraId="760563BE" w14:textId="77777777" w:rsidR="00CA6553" w:rsidRDefault="00CA6553">
      <w:pPr>
        <w:spacing w:after="0" w:line="240" w:lineRule="auto"/>
      </w:pPr>
    </w:p>
  </w:footnote>
  <w:footnote w:id="2">
    <w:p w14:paraId="2DE9656C" w14:textId="77777777" w:rsidR="00013B5D" w:rsidRDefault="00013B5D" w:rsidP="00013B5D">
      <w:r>
        <w:rPr>
          <w:rStyle w:val="FootnoteReference"/>
        </w:rPr>
        <w:footnoteRef/>
      </w:r>
      <w:r>
        <w:t xml:space="preserve"> The categories used are Black, Minority Ethnic (BME) and White, it is recognised that these aggregate forms of conceptualisation are not ideal and mask differences between groups. Lower levels of disclosure prohibit further breakdown into separate ethnic groupings. </w:t>
      </w:r>
    </w:p>
  </w:footnote>
  <w:footnote w:id="3">
    <w:p w14:paraId="6DE4B2CE" w14:textId="77777777" w:rsidR="00013B5D" w:rsidRDefault="00013B5D" w:rsidP="00013B5D">
      <w:pPr>
        <w:pStyle w:val="FootnoteText"/>
      </w:pPr>
      <w:r>
        <w:rPr>
          <w:rStyle w:val="FootnoteReference"/>
        </w:rPr>
        <w:footnoteRef/>
      </w:r>
      <w:r>
        <w:t xml:space="preserve"> The sexual orientation categories collected Lesbian, Gay Man, Bisexual and Other are amalgamated for this reporting purpose. It is recognised that experiences of these groups of staff are not the same, and if disclosure rates rise further detailed presentation of this data can be explored.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23FE3" w14:textId="77777777" w:rsidR="00B4107B" w:rsidRDefault="00B410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27047" w14:textId="03F69A15" w:rsidR="00B4107B" w:rsidRDefault="00B410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B9EDD" w14:textId="77777777" w:rsidR="00B4107B" w:rsidRDefault="00B410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0301A"/>
    <w:multiLevelType w:val="hybridMultilevel"/>
    <w:tmpl w:val="BC60242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42B7CFB"/>
    <w:multiLevelType w:val="hybridMultilevel"/>
    <w:tmpl w:val="12FA6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2860B4"/>
    <w:multiLevelType w:val="hybridMultilevel"/>
    <w:tmpl w:val="35CC3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F63EDD"/>
    <w:multiLevelType w:val="hybridMultilevel"/>
    <w:tmpl w:val="C8D2A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2327D7"/>
    <w:multiLevelType w:val="hybridMultilevel"/>
    <w:tmpl w:val="60AE4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F65634"/>
    <w:multiLevelType w:val="hybridMultilevel"/>
    <w:tmpl w:val="C6CC152E"/>
    <w:lvl w:ilvl="0" w:tplc="BE96177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1F4882"/>
    <w:multiLevelType w:val="hybridMultilevel"/>
    <w:tmpl w:val="CB3A2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301DCB"/>
    <w:multiLevelType w:val="multilevel"/>
    <w:tmpl w:val="7B0C1B9A"/>
    <w:lvl w:ilvl="0">
      <w:start w:val="1"/>
      <w:numFmt w:val="decimal"/>
      <w:lvlText w:val="%1."/>
      <w:lvlJc w:val="left"/>
      <w:pPr>
        <w:ind w:left="720" w:hanging="360"/>
      </w:pPr>
      <w:rPr>
        <w:rFonts w:hint="default"/>
      </w:rPr>
    </w:lvl>
    <w:lvl w:ilvl="1">
      <w:start w:val="1"/>
      <w:numFmt w:val="decimal"/>
      <w:isLgl/>
      <w:lvlText w:val="%1.%2"/>
      <w:lvlJc w:val="left"/>
      <w:pPr>
        <w:ind w:left="730" w:hanging="3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6CC682C"/>
    <w:multiLevelType w:val="hybridMultilevel"/>
    <w:tmpl w:val="7BC4764C"/>
    <w:lvl w:ilvl="0" w:tplc="BE96177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6F5EE9"/>
    <w:multiLevelType w:val="hybridMultilevel"/>
    <w:tmpl w:val="B9C41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BC3081"/>
    <w:multiLevelType w:val="hybridMultilevel"/>
    <w:tmpl w:val="24DA0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1E2B88"/>
    <w:multiLevelType w:val="hybridMultilevel"/>
    <w:tmpl w:val="7E307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022940">
    <w:abstractNumId w:val="8"/>
  </w:num>
  <w:num w:numId="2" w16cid:durableId="1241410598">
    <w:abstractNumId w:val="5"/>
  </w:num>
  <w:num w:numId="3" w16cid:durableId="511992620">
    <w:abstractNumId w:val="0"/>
  </w:num>
  <w:num w:numId="4" w16cid:durableId="1662200808">
    <w:abstractNumId w:val="1"/>
  </w:num>
  <w:num w:numId="5" w16cid:durableId="1538664731">
    <w:abstractNumId w:val="6"/>
  </w:num>
  <w:num w:numId="6" w16cid:durableId="351953678">
    <w:abstractNumId w:val="10"/>
  </w:num>
  <w:num w:numId="7" w16cid:durableId="1662196413">
    <w:abstractNumId w:val="9"/>
  </w:num>
  <w:num w:numId="8" w16cid:durableId="1895697886">
    <w:abstractNumId w:val="4"/>
  </w:num>
  <w:num w:numId="9" w16cid:durableId="2027512928">
    <w:abstractNumId w:val="7"/>
  </w:num>
  <w:num w:numId="10" w16cid:durableId="187255158">
    <w:abstractNumId w:val="11"/>
  </w:num>
  <w:num w:numId="11" w16cid:durableId="2004619559">
    <w:abstractNumId w:val="3"/>
  </w:num>
  <w:num w:numId="12" w16cid:durableId="18696837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1EA"/>
    <w:rsid w:val="00007443"/>
    <w:rsid w:val="0001359F"/>
    <w:rsid w:val="00013B5D"/>
    <w:rsid w:val="000155A3"/>
    <w:rsid w:val="00022245"/>
    <w:rsid w:val="00027C7F"/>
    <w:rsid w:val="000313EB"/>
    <w:rsid w:val="000319CE"/>
    <w:rsid w:val="0005324A"/>
    <w:rsid w:val="000550C7"/>
    <w:rsid w:val="000577C0"/>
    <w:rsid w:val="000620BE"/>
    <w:rsid w:val="00064EB4"/>
    <w:rsid w:val="00066CFB"/>
    <w:rsid w:val="0007387E"/>
    <w:rsid w:val="000A02E3"/>
    <w:rsid w:val="000A27E1"/>
    <w:rsid w:val="000A2FD2"/>
    <w:rsid w:val="000A4DBB"/>
    <w:rsid w:val="000A7520"/>
    <w:rsid w:val="000B4776"/>
    <w:rsid w:val="000B60DE"/>
    <w:rsid w:val="000C0FE0"/>
    <w:rsid w:val="000C5A56"/>
    <w:rsid w:val="000E673D"/>
    <w:rsid w:val="000F4E56"/>
    <w:rsid w:val="00100327"/>
    <w:rsid w:val="00111EAA"/>
    <w:rsid w:val="001144AC"/>
    <w:rsid w:val="00130BC0"/>
    <w:rsid w:val="001369AA"/>
    <w:rsid w:val="001443EC"/>
    <w:rsid w:val="00153132"/>
    <w:rsid w:val="00154BF1"/>
    <w:rsid w:val="0015683C"/>
    <w:rsid w:val="00170C7E"/>
    <w:rsid w:val="00177A8E"/>
    <w:rsid w:val="0018739E"/>
    <w:rsid w:val="001A3D9C"/>
    <w:rsid w:val="001A63BF"/>
    <w:rsid w:val="001B2652"/>
    <w:rsid w:val="001C254C"/>
    <w:rsid w:val="001C2C20"/>
    <w:rsid w:val="001D23A7"/>
    <w:rsid w:val="001D40B5"/>
    <w:rsid w:val="001D4D6C"/>
    <w:rsid w:val="001E4E29"/>
    <w:rsid w:val="001E5735"/>
    <w:rsid w:val="001F292C"/>
    <w:rsid w:val="002130DD"/>
    <w:rsid w:val="00216CD8"/>
    <w:rsid w:val="00224D4B"/>
    <w:rsid w:val="00227932"/>
    <w:rsid w:val="00260F42"/>
    <w:rsid w:val="00262AAB"/>
    <w:rsid w:val="00267318"/>
    <w:rsid w:val="00274B72"/>
    <w:rsid w:val="00280815"/>
    <w:rsid w:val="00291503"/>
    <w:rsid w:val="002946DC"/>
    <w:rsid w:val="00297B66"/>
    <w:rsid w:val="002A158A"/>
    <w:rsid w:val="002B28F5"/>
    <w:rsid w:val="002D1E37"/>
    <w:rsid w:val="002D2BE2"/>
    <w:rsid w:val="002F6D12"/>
    <w:rsid w:val="002F6E17"/>
    <w:rsid w:val="00306F09"/>
    <w:rsid w:val="00312777"/>
    <w:rsid w:val="0034338E"/>
    <w:rsid w:val="00344E7D"/>
    <w:rsid w:val="00350303"/>
    <w:rsid w:val="00350A61"/>
    <w:rsid w:val="003627CA"/>
    <w:rsid w:val="003636CD"/>
    <w:rsid w:val="003656A0"/>
    <w:rsid w:val="0038038E"/>
    <w:rsid w:val="003C39FA"/>
    <w:rsid w:val="003C675D"/>
    <w:rsid w:val="003E0AA1"/>
    <w:rsid w:val="003E1000"/>
    <w:rsid w:val="004057FE"/>
    <w:rsid w:val="00413AB4"/>
    <w:rsid w:val="00414B17"/>
    <w:rsid w:val="00433139"/>
    <w:rsid w:val="00443A7E"/>
    <w:rsid w:val="00443AD8"/>
    <w:rsid w:val="0044452C"/>
    <w:rsid w:val="00446040"/>
    <w:rsid w:val="00450433"/>
    <w:rsid w:val="00453B1A"/>
    <w:rsid w:val="00461124"/>
    <w:rsid w:val="004618BD"/>
    <w:rsid w:val="004629E0"/>
    <w:rsid w:val="00465129"/>
    <w:rsid w:val="00466B62"/>
    <w:rsid w:val="004715A0"/>
    <w:rsid w:val="00472397"/>
    <w:rsid w:val="004725AF"/>
    <w:rsid w:val="004A12BE"/>
    <w:rsid w:val="004A18B8"/>
    <w:rsid w:val="004B36ED"/>
    <w:rsid w:val="004B37AE"/>
    <w:rsid w:val="004B724B"/>
    <w:rsid w:val="004B7701"/>
    <w:rsid w:val="004C24DF"/>
    <w:rsid w:val="004C2891"/>
    <w:rsid w:val="004D1873"/>
    <w:rsid w:val="004D2578"/>
    <w:rsid w:val="004D6521"/>
    <w:rsid w:val="004D65F0"/>
    <w:rsid w:val="004E17FD"/>
    <w:rsid w:val="004E3B9E"/>
    <w:rsid w:val="004E59E6"/>
    <w:rsid w:val="004F0EAF"/>
    <w:rsid w:val="004F38BA"/>
    <w:rsid w:val="00510916"/>
    <w:rsid w:val="00514FFB"/>
    <w:rsid w:val="00525762"/>
    <w:rsid w:val="00533AF1"/>
    <w:rsid w:val="00540FC4"/>
    <w:rsid w:val="005429E9"/>
    <w:rsid w:val="0055376A"/>
    <w:rsid w:val="00556EDA"/>
    <w:rsid w:val="005617F9"/>
    <w:rsid w:val="00566BD6"/>
    <w:rsid w:val="00567D8C"/>
    <w:rsid w:val="00572106"/>
    <w:rsid w:val="0057261F"/>
    <w:rsid w:val="00581747"/>
    <w:rsid w:val="005938E1"/>
    <w:rsid w:val="005939BC"/>
    <w:rsid w:val="005972A8"/>
    <w:rsid w:val="005A3CED"/>
    <w:rsid w:val="005C42FF"/>
    <w:rsid w:val="005D32F0"/>
    <w:rsid w:val="005D4CE4"/>
    <w:rsid w:val="005D4EE4"/>
    <w:rsid w:val="005E0126"/>
    <w:rsid w:val="005E1BDF"/>
    <w:rsid w:val="00603B3B"/>
    <w:rsid w:val="00604AF1"/>
    <w:rsid w:val="00613068"/>
    <w:rsid w:val="006171AE"/>
    <w:rsid w:val="00620BAC"/>
    <w:rsid w:val="006263D7"/>
    <w:rsid w:val="00626950"/>
    <w:rsid w:val="00627F78"/>
    <w:rsid w:val="00640E7A"/>
    <w:rsid w:val="00652D84"/>
    <w:rsid w:val="006534AD"/>
    <w:rsid w:val="00655BC5"/>
    <w:rsid w:val="006563F8"/>
    <w:rsid w:val="00673DF3"/>
    <w:rsid w:val="00675522"/>
    <w:rsid w:val="0067606F"/>
    <w:rsid w:val="006873E4"/>
    <w:rsid w:val="006962F5"/>
    <w:rsid w:val="006A21FE"/>
    <w:rsid w:val="006A5891"/>
    <w:rsid w:val="006A70B7"/>
    <w:rsid w:val="006B325F"/>
    <w:rsid w:val="006B7440"/>
    <w:rsid w:val="006C01FE"/>
    <w:rsid w:val="006D05BC"/>
    <w:rsid w:val="006E31CE"/>
    <w:rsid w:val="006F150A"/>
    <w:rsid w:val="006F35F6"/>
    <w:rsid w:val="00711D23"/>
    <w:rsid w:val="00712588"/>
    <w:rsid w:val="00740B07"/>
    <w:rsid w:val="007553F6"/>
    <w:rsid w:val="00777D46"/>
    <w:rsid w:val="007A20F3"/>
    <w:rsid w:val="007A7E9D"/>
    <w:rsid w:val="007B3966"/>
    <w:rsid w:val="007B416F"/>
    <w:rsid w:val="007C1CA1"/>
    <w:rsid w:val="007D12C9"/>
    <w:rsid w:val="007E1CBE"/>
    <w:rsid w:val="007E2EE9"/>
    <w:rsid w:val="007F588F"/>
    <w:rsid w:val="00800207"/>
    <w:rsid w:val="008055D0"/>
    <w:rsid w:val="00824CC0"/>
    <w:rsid w:val="008401D9"/>
    <w:rsid w:val="008421B5"/>
    <w:rsid w:val="0084552D"/>
    <w:rsid w:val="0084755C"/>
    <w:rsid w:val="008505A1"/>
    <w:rsid w:val="008552E9"/>
    <w:rsid w:val="00862232"/>
    <w:rsid w:val="008675E2"/>
    <w:rsid w:val="00872BDD"/>
    <w:rsid w:val="008754B4"/>
    <w:rsid w:val="00875DBF"/>
    <w:rsid w:val="00882224"/>
    <w:rsid w:val="00886E67"/>
    <w:rsid w:val="00890D7B"/>
    <w:rsid w:val="0089384E"/>
    <w:rsid w:val="008B3EB2"/>
    <w:rsid w:val="008D34B1"/>
    <w:rsid w:val="008E1C31"/>
    <w:rsid w:val="008F4C6C"/>
    <w:rsid w:val="009023D6"/>
    <w:rsid w:val="00915252"/>
    <w:rsid w:val="00926419"/>
    <w:rsid w:val="0094305E"/>
    <w:rsid w:val="00960EF8"/>
    <w:rsid w:val="0096155F"/>
    <w:rsid w:val="0097667B"/>
    <w:rsid w:val="0098047B"/>
    <w:rsid w:val="00981846"/>
    <w:rsid w:val="00991079"/>
    <w:rsid w:val="00994AE3"/>
    <w:rsid w:val="0099530C"/>
    <w:rsid w:val="009954CA"/>
    <w:rsid w:val="009A0431"/>
    <w:rsid w:val="009A4EBB"/>
    <w:rsid w:val="009A5131"/>
    <w:rsid w:val="009B2B38"/>
    <w:rsid w:val="009C51EA"/>
    <w:rsid w:val="009C53F6"/>
    <w:rsid w:val="009D4E4D"/>
    <w:rsid w:val="009F3969"/>
    <w:rsid w:val="009F6D75"/>
    <w:rsid w:val="00A03359"/>
    <w:rsid w:val="00A069B6"/>
    <w:rsid w:val="00A1187A"/>
    <w:rsid w:val="00A13380"/>
    <w:rsid w:val="00A233FA"/>
    <w:rsid w:val="00A23532"/>
    <w:rsid w:val="00A368DE"/>
    <w:rsid w:val="00A36EEA"/>
    <w:rsid w:val="00A42C62"/>
    <w:rsid w:val="00A42E62"/>
    <w:rsid w:val="00A441C2"/>
    <w:rsid w:val="00A463DF"/>
    <w:rsid w:val="00A57313"/>
    <w:rsid w:val="00A631CA"/>
    <w:rsid w:val="00A6496B"/>
    <w:rsid w:val="00A74240"/>
    <w:rsid w:val="00A74E2F"/>
    <w:rsid w:val="00A75B0F"/>
    <w:rsid w:val="00A762E6"/>
    <w:rsid w:val="00A841ED"/>
    <w:rsid w:val="00A90CA7"/>
    <w:rsid w:val="00A96FC7"/>
    <w:rsid w:val="00AC4F4E"/>
    <w:rsid w:val="00AC6C52"/>
    <w:rsid w:val="00AD3406"/>
    <w:rsid w:val="00AD3B10"/>
    <w:rsid w:val="00AE2347"/>
    <w:rsid w:val="00AE3CA4"/>
    <w:rsid w:val="00AE5093"/>
    <w:rsid w:val="00AF566F"/>
    <w:rsid w:val="00AF6819"/>
    <w:rsid w:val="00B01DCD"/>
    <w:rsid w:val="00B16623"/>
    <w:rsid w:val="00B166DB"/>
    <w:rsid w:val="00B24C7D"/>
    <w:rsid w:val="00B4107B"/>
    <w:rsid w:val="00B43C11"/>
    <w:rsid w:val="00B478D7"/>
    <w:rsid w:val="00B51875"/>
    <w:rsid w:val="00B6178F"/>
    <w:rsid w:val="00B65E5A"/>
    <w:rsid w:val="00B73DF9"/>
    <w:rsid w:val="00B870CC"/>
    <w:rsid w:val="00B96398"/>
    <w:rsid w:val="00B975D5"/>
    <w:rsid w:val="00BD5374"/>
    <w:rsid w:val="00BE6C47"/>
    <w:rsid w:val="00BF4D61"/>
    <w:rsid w:val="00C12175"/>
    <w:rsid w:val="00C16292"/>
    <w:rsid w:val="00C17B2D"/>
    <w:rsid w:val="00C23E52"/>
    <w:rsid w:val="00C31C2A"/>
    <w:rsid w:val="00C5285E"/>
    <w:rsid w:val="00C55588"/>
    <w:rsid w:val="00C7526C"/>
    <w:rsid w:val="00C830BF"/>
    <w:rsid w:val="00C867B4"/>
    <w:rsid w:val="00C90734"/>
    <w:rsid w:val="00CA05A9"/>
    <w:rsid w:val="00CA0DB3"/>
    <w:rsid w:val="00CA31F7"/>
    <w:rsid w:val="00CA6553"/>
    <w:rsid w:val="00CC4574"/>
    <w:rsid w:val="00CE01DF"/>
    <w:rsid w:val="00CE196D"/>
    <w:rsid w:val="00CE6B76"/>
    <w:rsid w:val="00CF170A"/>
    <w:rsid w:val="00CF2A6C"/>
    <w:rsid w:val="00CF51F7"/>
    <w:rsid w:val="00D04AD3"/>
    <w:rsid w:val="00D06607"/>
    <w:rsid w:val="00D1173C"/>
    <w:rsid w:val="00D11E44"/>
    <w:rsid w:val="00D1408D"/>
    <w:rsid w:val="00D15FDB"/>
    <w:rsid w:val="00D32448"/>
    <w:rsid w:val="00D40BF3"/>
    <w:rsid w:val="00D5542A"/>
    <w:rsid w:val="00D724BE"/>
    <w:rsid w:val="00D81204"/>
    <w:rsid w:val="00D8252E"/>
    <w:rsid w:val="00D958F3"/>
    <w:rsid w:val="00DB2025"/>
    <w:rsid w:val="00DB3F0B"/>
    <w:rsid w:val="00DC1A68"/>
    <w:rsid w:val="00DC2256"/>
    <w:rsid w:val="00DF531F"/>
    <w:rsid w:val="00E12DD3"/>
    <w:rsid w:val="00E1520C"/>
    <w:rsid w:val="00E158AA"/>
    <w:rsid w:val="00E15948"/>
    <w:rsid w:val="00E23866"/>
    <w:rsid w:val="00E24D52"/>
    <w:rsid w:val="00E30D64"/>
    <w:rsid w:val="00E3330B"/>
    <w:rsid w:val="00E41C9B"/>
    <w:rsid w:val="00E43804"/>
    <w:rsid w:val="00E43848"/>
    <w:rsid w:val="00E44CA8"/>
    <w:rsid w:val="00E5261A"/>
    <w:rsid w:val="00E531D5"/>
    <w:rsid w:val="00E551C4"/>
    <w:rsid w:val="00E56FFD"/>
    <w:rsid w:val="00E632FF"/>
    <w:rsid w:val="00E63D74"/>
    <w:rsid w:val="00E74119"/>
    <w:rsid w:val="00E824DC"/>
    <w:rsid w:val="00E95ACB"/>
    <w:rsid w:val="00EA2162"/>
    <w:rsid w:val="00EA2216"/>
    <w:rsid w:val="00EA5F37"/>
    <w:rsid w:val="00EA7558"/>
    <w:rsid w:val="00ED18BD"/>
    <w:rsid w:val="00ED3441"/>
    <w:rsid w:val="00ED5132"/>
    <w:rsid w:val="00EE2E3F"/>
    <w:rsid w:val="00EE328A"/>
    <w:rsid w:val="00EE68C4"/>
    <w:rsid w:val="00EF0865"/>
    <w:rsid w:val="00EF1756"/>
    <w:rsid w:val="00F24514"/>
    <w:rsid w:val="00F24D5B"/>
    <w:rsid w:val="00F35856"/>
    <w:rsid w:val="00F3732F"/>
    <w:rsid w:val="00F72BEB"/>
    <w:rsid w:val="00F829B2"/>
    <w:rsid w:val="00F82A8A"/>
    <w:rsid w:val="00F92F40"/>
    <w:rsid w:val="00F94067"/>
    <w:rsid w:val="00F95C1F"/>
    <w:rsid w:val="00FA3E25"/>
    <w:rsid w:val="00FA53C8"/>
    <w:rsid w:val="00FA6D06"/>
    <w:rsid w:val="00FB0BD5"/>
    <w:rsid w:val="00FB2863"/>
    <w:rsid w:val="00FC58BE"/>
    <w:rsid w:val="00FD1B4E"/>
    <w:rsid w:val="00FD21CA"/>
    <w:rsid w:val="00FD7A6C"/>
    <w:rsid w:val="00FE1F7C"/>
    <w:rsid w:val="00FE5539"/>
    <w:rsid w:val="00FE58E0"/>
    <w:rsid w:val="00FE7E24"/>
    <w:rsid w:val="00FF4BF0"/>
    <w:rsid w:val="18753949"/>
    <w:rsid w:val="1F300C57"/>
    <w:rsid w:val="2348B7AA"/>
    <w:rsid w:val="657CED5D"/>
    <w:rsid w:val="7C7784F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42C625"/>
  <w15:chartTrackingRefBased/>
  <w15:docId w15:val="{29E32D17-8FED-409E-A589-A47D71B23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51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C51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C51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C51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9C51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51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51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51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51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51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C51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C51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C51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9C51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51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51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51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51EA"/>
    <w:rPr>
      <w:rFonts w:eastAsiaTheme="majorEastAsia" w:cstheme="majorBidi"/>
      <w:color w:val="272727" w:themeColor="text1" w:themeTint="D8"/>
    </w:rPr>
  </w:style>
  <w:style w:type="paragraph" w:styleId="Title">
    <w:name w:val="Title"/>
    <w:basedOn w:val="Normal"/>
    <w:next w:val="Normal"/>
    <w:link w:val="TitleChar"/>
    <w:uiPriority w:val="10"/>
    <w:qFormat/>
    <w:rsid w:val="009C51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51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51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51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51EA"/>
    <w:pPr>
      <w:spacing w:before="160"/>
      <w:jc w:val="center"/>
    </w:pPr>
    <w:rPr>
      <w:i/>
      <w:iCs/>
      <w:color w:val="404040" w:themeColor="text1" w:themeTint="BF"/>
    </w:rPr>
  </w:style>
  <w:style w:type="character" w:customStyle="1" w:styleId="QuoteChar">
    <w:name w:val="Quote Char"/>
    <w:basedOn w:val="DefaultParagraphFont"/>
    <w:link w:val="Quote"/>
    <w:uiPriority w:val="29"/>
    <w:rsid w:val="009C51EA"/>
    <w:rPr>
      <w:i/>
      <w:iCs/>
      <w:color w:val="404040" w:themeColor="text1" w:themeTint="BF"/>
    </w:rPr>
  </w:style>
  <w:style w:type="paragraph" w:styleId="ListParagraph">
    <w:name w:val="List Paragraph"/>
    <w:basedOn w:val="Normal"/>
    <w:uiPriority w:val="34"/>
    <w:qFormat/>
    <w:rsid w:val="009C51EA"/>
    <w:pPr>
      <w:ind w:left="720"/>
      <w:contextualSpacing/>
    </w:pPr>
  </w:style>
  <w:style w:type="character" w:styleId="IntenseEmphasis">
    <w:name w:val="Intense Emphasis"/>
    <w:basedOn w:val="DefaultParagraphFont"/>
    <w:uiPriority w:val="21"/>
    <w:qFormat/>
    <w:rsid w:val="009C51EA"/>
    <w:rPr>
      <w:i/>
      <w:iCs/>
      <w:color w:val="0F4761" w:themeColor="accent1" w:themeShade="BF"/>
    </w:rPr>
  </w:style>
  <w:style w:type="paragraph" w:styleId="IntenseQuote">
    <w:name w:val="Intense Quote"/>
    <w:basedOn w:val="Normal"/>
    <w:next w:val="Normal"/>
    <w:link w:val="IntenseQuoteChar"/>
    <w:uiPriority w:val="30"/>
    <w:qFormat/>
    <w:rsid w:val="009C51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51EA"/>
    <w:rPr>
      <w:i/>
      <w:iCs/>
      <w:color w:val="0F4761" w:themeColor="accent1" w:themeShade="BF"/>
    </w:rPr>
  </w:style>
  <w:style w:type="character" w:styleId="IntenseReference">
    <w:name w:val="Intense Reference"/>
    <w:basedOn w:val="DefaultParagraphFont"/>
    <w:uiPriority w:val="32"/>
    <w:qFormat/>
    <w:rsid w:val="009C51EA"/>
    <w:rPr>
      <w:b/>
      <w:bCs/>
      <w:smallCaps/>
      <w:color w:val="0F4761" w:themeColor="accent1" w:themeShade="BF"/>
      <w:spacing w:val="5"/>
    </w:rPr>
  </w:style>
  <w:style w:type="table" w:styleId="TableGrid">
    <w:name w:val="Table Grid"/>
    <w:basedOn w:val="TableNormal"/>
    <w:uiPriority w:val="39"/>
    <w:rsid w:val="00015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urfulAccent1">
    <w:name w:val="Grid Table 6 Colorful Accent 1"/>
    <w:basedOn w:val="TableNormal"/>
    <w:uiPriority w:val="51"/>
    <w:rsid w:val="0005324A"/>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Hyperlink">
    <w:name w:val="Hyperlink"/>
    <w:basedOn w:val="DefaultParagraphFont"/>
    <w:uiPriority w:val="99"/>
    <w:unhideWhenUsed/>
    <w:rsid w:val="00CA05A9"/>
    <w:rPr>
      <w:color w:val="467886" w:themeColor="hyperlink"/>
      <w:u w:val="single"/>
    </w:rPr>
  </w:style>
  <w:style w:type="character" w:styleId="UnresolvedMention">
    <w:name w:val="Unresolved Mention"/>
    <w:basedOn w:val="DefaultParagraphFont"/>
    <w:uiPriority w:val="99"/>
    <w:semiHidden/>
    <w:unhideWhenUsed/>
    <w:rsid w:val="00CA05A9"/>
    <w:rPr>
      <w:color w:val="605E5C"/>
      <w:shd w:val="clear" w:color="auto" w:fill="E1DFDD"/>
    </w:rPr>
  </w:style>
  <w:style w:type="paragraph" w:styleId="Header">
    <w:name w:val="header"/>
    <w:basedOn w:val="Normal"/>
    <w:link w:val="HeaderChar"/>
    <w:uiPriority w:val="99"/>
    <w:unhideWhenUsed/>
    <w:rsid w:val="007125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2588"/>
  </w:style>
  <w:style w:type="paragraph" w:styleId="Footer">
    <w:name w:val="footer"/>
    <w:basedOn w:val="Normal"/>
    <w:link w:val="FooterChar"/>
    <w:uiPriority w:val="99"/>
    <w:unhideWhenUsed/>
    <w:rsid w:val="007125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2588"/>
  </w:style>
  <w:style w:type="table" w:styleId="GridTable5Dark-Accent1">
    <w:name w:val="Grid Table 5 Dark Accent 1"/>
    <w:basedOn w:val="TableNormal"/>
    <w:uiPriority w:val="50"/>
    <w:rsid w:val="00350A6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46512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paragraph" w:styleId="FootnoteText">
    <w:name w:val="footnote text"/>
    <w:basedOn w:val="Normal"/>
    <w:link w:val="FootnoteTextChar"/>
    <w:uiPriority w:val="99"/>
    <w:semiHidden/>
    <w:unhideWhenUsed/>
    <w:rsid w:val="007553F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53F6"/>
    <w:rPr>
      <w:sz w:val="20"/>
      <w:szCs w:val="20"/>
    </w:rPr>
  </w:style>
  <w:style w:type="character" w:styleId="FootnoteReference">
    <w:name w:val="footnote reference"/>
    <w:basedOn w:val="DefaultParagraphFont"/>
    <w:uiPriority w:val="99"/>
    <w:semiHidden/>
    <w:unhideWhenUsed/>
    <w:rsid w:val="007553F6"/>
    <w:rPr>
      <w:vertAlign w:val="superscript"/>
    </w:rPr>
  </w:style>
  <w:style w:type="character" w:styleId="CommentReference">
    <w:name w:val="annotation reference"/>
    <w:basedOn w:val="DefaultParagraphFont"/>
    <w:uiPriority w:val="99"/>
    <w:semiHidden/>
    <w:unhideWhenUsed/>
    <w:rsid w:val="00013B5D"/>
    <w:rPr>
      <w:sz w:val="16"/>
      <w:szCs w:val="16"/>
    </w:rPr>
  </w:style>
  <w:style w:type="paragraph" w:styleId="CommentText">
    <w:name w:val="annotation text"/>
    <w:basedOn w:val="Normal"/>
    <w:link w:val="CommentTextChar"/>
    <w:uiPriority w:val="99"/>
    <w:unhideWhenUsed/>
    <w:rsid w:val="00013B5D"/>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013B5D"/>
    <w:rPr>
      <w:kern w:val="0"/>
      <w:sz w:val="20"/>
      <w:szCs w:val="20"/>
      <w14:ligatures w14:val="none"/>
    </w:rPr>
  </w:style>
  <w:style w:type="character" w:styleId="Mention">
    <w:name w:val="Mention"/>
    <w:basedOn w:val="DefaultParagraphFont"/>
    <w:uiPriority w:val="99"/>
    <w:unhideWhenUsed/>
    <w:rsid w:val="00013B5D"/>
    <w:rPr>
      <w:color w:val="2B579A"/>
      <w:shd w:val="clear" w:color="auto" w:fill="E1DFDD"/>
    </w:rPr>
  </w:style>
  <w:style w:type="table" w:customStyle="1" w:styleId="GridTable5Dark-Accent12">
    <w:name w:val="Grid Table 5 Dark - Accent 12"/>
    <w:basedOn w:val="TableNormal"/>
    <w:next w:val="GridTable5Dark-Accent1"/>
    <w:uiPriority w:val="50"/>
    <w:rsid w:val="00013B5D"/>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1E4F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15608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15608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15608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156082"/>
      </w:tcPr>
    </w:tblStylePr>
    <w:tblStylePr w:type="band1Vert">
      <w:tblPr/>
      <w:tcPr>
        <w:shd w:val="clear" w:color="auto" w:fill="83CAEB"/>
      </w:tcPr>
    </w:tblStylePr>
    <w:tblStylePr w:type="band1Horz">
      <w:tblPr/>
      <w:tcPr>
        <w:shd w:val="clear" w:color="auto" w:fill="83CAEB"/>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5521">
      <w:bodyDiv w:val="1"/>
      <w:marLeft w:val="0"/>
      <w:marRight w:val="0"/>
      <w:marTop w:val="0"/>
      <w:marBottom w:val="0"/>
      <w:divBdr>
        <w:top w:val="none" w:sz="0" w:space="0" w:color="auto"/>
        <w:left w:val="none" w:sz="0" w:space="0" w:color="auto"/>
        <w:bottom w:val="none" w:sz="0" w:space="0" w:color="auto"/>
        <w:right w:val="none" w:sz="0" w:space="0" w:color="auto"/>
      </w:divBdr>
    </w:div>
    <w:div w:id="35587474">
      <w:bodyDiv w:val="1"/>
      <w:marLeft w:val="0"/>
      <w:marRight w:val="0"/>
      <w:marTop w:val="0"/>
      <w:marBottom w:val="0"/>
      <w:divBdr>
        <w:top w:val="none" w:sz="0" w:space="0" w:color="auto"/>
        <w:left w:val="none" w:sz="0" w:space="0" w:color="auto"/>
        <w:bottom w:val="none" w:sz="0" w:space="0" w:color="auto"/>
        <w:right w:val="none" w:sz="0" w:space="0" w:color="auto"/>
      </w:divBdr>
    </w:div>
    <w:div w:id="234824094">
      <w:bodyDiv w:val="1"/>
      <w:marLeft w:val="0"/>
      <w:marRight w:val="0"/>
      <w:marTop w:val="0"/>
      <w:marBottom w:val="0"/>
      <w:divBdr>
        <w:top w:val="none" w:sz="0" w:space="0" w:color="auto"/>
        <w:left w:val="none" w:sz="0" w:space="0" w:color="auto"/>
        <w:bottom w:val="none" w:sz="0" w:space="0" w:color="auto"/>
        <w:right w:val="none" w:sz="0" w:space="0" w:color="auto"/>
      </w:divBdr>
    </w:div>
    <w:div w:id="1535383143">
      <w:bodyDiv w:val="1"/>
      <w:marLeft w:val="0"/>
      <w:marRight w:val="0"/>
      <w:marTop w:val="0"/>
      <w:marBottom w:val="0"/>
      <w:divBdr>
        <w:top w:val="none" w:sz="0" w:space="0" w:color="auto"/>
        <w:left w:val="none" w:sz="0" w:space="0" w:color="auto"/>
        <w:bottom w:val="none" w:sz="0" w:space="0" w:color="auto"/>
        <w:right w:val="none" w:sz="0" w:space="0" w:color="auto"/>
      </w:divBdr>
    </w:div>
    <w:div w:id="1633826526">
      <w:bodyDiv w:val="1"/>
      <w:marLeft w:val="0"/>
      <w:marRight w:val="0"/>
      <w:marTop w:val="0"/>
      <w:marBottom w:val="0"/>
      <w:divBdr>
        <w:top w:val="none" w:sz="0" w:space="0" w:color="auto"/>
        <w:left w:val="none" w:sz="0" w:space="0" w:color="auto"/>
        <w:bottom w:val="none" w:sz="0" w:space="0" w:color="auto"/>
        <w:right w:val="none" w:sz="0" w:space="0" w:color="auto"/>
      </w:divBdr>
    </w:div>
    <w:div w:id="1934506206">
      <w:bodyDiv w:val="1"/>
      <w:marLeft w:val="0"/>
      <w:marRight w:val="0"/>
      <w:marTop w:val="0"/>
      <w:marBottom w:val="0"/>
      <w:divBdr>
        <w:top w:val="none" w:sz="0" w:space="0" w:color="auto"/>
        <w:left w:val="none" w:sz="0" w:space="0" w:color="auto"/>
        <w:bottom w:val="none" w:sz="0" w:space="0" w:color="auto"/>
        <w:right w:val="none" w:sz="0" w:space="0" w:color="auto"/>
      </w:divBdr>
    </w:div>
    <w:div w:id="1965966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undee.ac.uk/download/177456/media"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undee.ac.uk/corporate-information/equality-impact-assessmen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78D994BA520B4B820524AD582905A8" ma:contentTypeVersion="18" ma:contentTypeDescription="Create a new document." ma:contentTypeScope="" ma:versionID="19739242819f50a680dace184b4f15b1">
  <xsd:schema xmlns:xsd="http://www.w3.org/2001/XMLSchema" xmlns:xs="http://www.w3.org/2001/XMLSchema" xmlns:p="http://schemas.microsoft.com/office/2006/metadata/properties" xmlns:ns2="32570974-f53b-4bfc-aa87-899ef4d420a5" xmlns:ns3="7996353d-8398-4415-b044-5fb014b17a0d" targetNamespace="http://schemas.microsoft.com/office/2006/metadata/properties" ma:root="true" ma:fieldsID="c119262bb67d78c0bbce98755f9598d3" ns2:_="" ns3:_="">
    <xsd:import namespace="32570974-f53b-4bfc-aa87-899ef4d420a5"/>
    <xsd:import namespace="7996353d-8398-4415-b044-5fb014b17a0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OnlineAccessibilityTEST"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570974-f53b-4bfc-aa87-899ef4d420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643730-4106-43af-9ce9-7aa0c1c95a0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OnlineAccessibilityTEST" ma:index="21" nillable="true" ma:displayName="Online Accessibility TEST" ma:format="Dropdown" ma:internalName="OnlineAccessibilityTEST">
      <xsd:simpleType>
        <xsd:restriction base="dms:Text">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96353d-8398-4415-b044-5fb014b17a0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b4ffb10-5ba7-4f37-9aad-55d3b2262cc1}" ma:internalName="TaxCatchAll" ma:showField="CatchAllData" ma:web="7996353d-8398-4415-b044-5fb014b17a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996353d-8398-4415-b044-5fb014b17a0d" xsi:nil="true"/>
    <lcf76f155ced4ddcb4097134ff3c332f xmlns="32570974-f53b-4bfc-aa87-899ef4d420a5">
      <Terms xmlns="http://schemas.microsoft.com/office/infopath/2007/PartnerControls"/>
    </lcf76f155ced4ddcb4097134ff3c332f>
    <OnlineAccessibilityTEST xmlns="32570974-f53b-4bfc-aa87-899ef4d420a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D01203-0336-48B5-B5F7-E575741871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570974-f53b-4bfc-aa87-899ef4d420a5"/>
    <ds:schemaRef ds:uri="7996353d-8398-4415-b044-5fb014b17a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4D0DFB-784C-40F8-B9AF-157D8E2BB9B3}">
  <ds:schemaRefs>
    <ds:schemaRef ds:uri="http://schemas.microsoft.com/office/2006/metadata/properties"/>
    <ds:schemaRef ds:uri="http://schemas.microsoft.com/office/infopath/2007/PartnerControls"/>
    <ds:schemaRef ds:uri="7996353d-8398-4415-b044-5fb014b17a0d"/>
    <ds:schemaRef ds:uri="32570974-f53b-4bfc-aa87-899ef4d420a5"/>
  </ds:schemaRefs>
</ds:datastoreItem>
</file>

<file path=customXml/itemProps3.xml><?xml version="1.0" encoding="utf-8"?>
<ds:datastoreItem xmlns:ds="http://schemas.openxmlformats.org/officeDocument/2006/customXml" ds:itemID="{8C3501A4-29BD-42E3-81F9-D1F919A111E8}">
  <ds:schemaRefs>
    <ds:schemaRef ds:uri="http://schemas.openxmlformats.org/officeDocument/2006/bibliography"/>
  </ds:schemaRefs>
</ds:datastoreItem>
</file>

<file path=customXml/itemProps4.xml><?xml version="1.0" encoding="utf-8"?>
<ds:datastoreItem xmlns:ds="http://schemas.openxmlformats.org/officeDocument/2006/customXml" ds:itemID="{95AFE38A-111D-486E-A851-5E3DFF4646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1352</Words>
  <Characters>8198</Characters>
  <Application>Microsoft Office Word</Application>
  <DocSecurity>0</DocSecurity>
  <Lines>190</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Mhairi Taylor (Staff)</dc:creator>
  <cp:keywords/>
  <dc:description/>
  <cp:lastModifiedBy>George Simmonds (Staff)</cp:lastModifiedBy>
  <cp:revision>3</cp:revision>
  <cp:lastPrinted>2025-12-18T15:19:00Z</cp:lastPrinted>
  <dcterms:created xsi:type="dcterms:W3CDTF">2025-12-17T14:55:00Z</dcterms:created>
  <dcterms:modified xsi:type="dcterms:W3CDTF">2025-12-18T15:22:00Z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618d1e0-f5d7-4da7-8ddd-3b83021a2c85_Enabled">
    <vt:lpwstr>true</vt:lpwstr>
  </property>
  <property fmtid="{D5CDD505-2E9C-101B-9397-08002B2CF9AE}" pid="3" name="MSIP_Label_a618d1e0-f5d7-4da7-8ddd-3b83021a2c85_SetDate">
    <vt:lpwstr>2025-03-09T14:34:17Z</vt:lpwstr>
  </property>
  <property fmtid="{D5CDD505-2E9C-101B-9397-08002B2CF9AE}" pid="4" name="MSIP_Label_a618d1e0-f5d7-4da7-8ddd-3b83021a2c85_Method">
    <vt:lpwstr>Standard</vt:lpwstr>
  </property>
  <property fmtid="{D5CDD505-2E9C-101B-9397-08002B2CF9AE}" pid="5" name="MSIP_Label_a618d1e0-f5d7-4da7-8ddd-3b83021a2c85_Name">
    <vt:lpwstr>Private</vt:lpwstr>
  </property>
  <property fmtid="{D5CDD505-2E9C-101B-9397-08002B2CF9AE}" pid="6" name="MSIP_Label_a618d1e0-f5d7-4da7-8ddd-3b83021a2c85_SiteId">
    <vt:lpwstr>ae323139-093a-4d2a-81a6-5d334bcd9019</vt:lpwstr>
  </property>
  <property fmtid="{D5CDD505-2E9C-101B-9397-08002B2CF9AE}" pid="7" name="MSIP_Label_a618d1e0-f5d7-4da7-8ddd-3b83021a2c85_ActionId">
    <vt:lpwstr>32f937f7-73ee-4adc-8dbf-bedc020acb3f</vt:lpwstr>
  </property>
  <property fmtid="{D5CDD505-2E9C-101B-9397-08002B2CF9AE}" pid="8" name="MSIP_Label_a618d1e0-f5d7-4da7-8ddd-3b83021a2c85_ContentBits">
    <vt:lpwstr>0</vt:lpwstr>
  </property>
  <property fmtid="{D5CDD505-2E9C-101B-9397-08002B2CF9AE}" pid="9" name="MSIP_Label_a618d1e0-f5d7-4da7-8ddd-3b83021a2c85_Tag">
    <vt:lpwstr>10, 3, 0, 1</vt:lpwstr>
  </property>
  <property fmtid="{D5CDD505-2E9C-101B-9397-08002B2CF9AE}" pid="10" name="ContentTypeId">
    <vt:lpwstr>0x0101003278D994BA520B4B820524AD582905A8</vt:lpwstr>
  </property>
</Properties>
</file>