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5BCE" w14:textId="77777777" w:rsidR="00126BD8" w:rsidRPr="00126BD8" w:rsidRDefault="00126BD8" w:rsidP="00D54EC2">
      <w:pPr>
        <w:pStyle w:val="Title"/>
        <w:rPr>
          <w:lang w:eastAsia="en-US"/>
        </w:rPr>
      </w:pPr>
      <w:r w:rsidRPr="00126BD8">
        <w:rPr>
          <w:lang w:eastAsia="en-US"/>
        </w:rPr>
        <w:t>Policy and Guidance on the Approval of New Taught Provision</w:t>
      </w:r>
    </w:p>
    <w:p w14:paraId="0EFAD637" w14:textId="77777777" w:rsidR="00126BD8" w:rsidRPr="009430CC" w:rsidRDefault="00126BD8" w:rsidP="00126BD8">
      <w:pPr>
        <w:rPr>
          <w:b/>
          <w:lang w:eastAsia="en-US"/>
        </w:rPr>
      </w:pPr>
      <w:r w:rsidRPr="009430CC">
        <w:rPr>
          <w:b/>
          <w:lang w:eastAsia="en-US"/>
        </w:rPr>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845"/>
        <w:gridCol w:w="6138"/>
        <w:gridCol w:w="649"/>
      </w:tblGrid>
      <w:tr w:rsidR="00126BD8" w:rsidRPr="0020138C" w14:paraId="683E9003" w14:textId="77777777" w:rsidTr="00D54EC2">
        <w:tc>
          <w:tcPr>
            <w:tcW w:w="667" w:type="dxa"/>
          </w:tcPr>
          <w:p w14:paraId="47F8B06E" w14:textId="77777777" w:rsidR="00126BD8" w:rsidRPr="0020138C" w:rsidRDefault="00126BD8" w:rsidP="00126BD8">
            <w:pPr>
              <w:rPr>
                <w:rFonts w:asciiTheme="minorHAnsi" w:hAnsiTheme="minorHAnsi"/>
                <w:sz w:val="22"/>
                <w:szCs w:val="22"/>
                <w:lang w:eastAsia="en-US"/>
              </w:rPr>
            </w:pPr>
          </w:p>
        </w:tc>
        <w:tc>
          <w:tcPr>
            <w:tcW w:w="845" w:type="dxa"/>
          </w:tcPr>
          <w:p w14:paraId="2A954B7F" w14:textId="77777777" w:rsidR="00126BD8" w:rsidRPr="0020138C" w:rsidRDefault="00126BD8" w:rsidP="00126BD8">
            <w:pPr>
              <w:rPr>
                <w:rFonts w:asciiTheme="minorHAnsi" w:hAnsiTheme="minorHAnsi"/>
                <w:sz w:val="22"/>
                <w:szCs w:val="22"/>
                <w:lang w:eastAsia="en-US"/>
              </w:rPr>
            </w:pPr>
          </w:p>
        </w:tc>
        <w:tc>
          <w:tcPr>
            <w:tcW w:w="6138" w:type="dxa"/>
          </w:tcPr>
          <w:p w14:paraId="3C7E1151" w14:textId="77777777" w:rsidR="00126BD8" w:rsidRPr="0020138C" w:rsidRDefault="00126BD8" w:rsidP="00126BD8">
            <w:pPr>
              <w:rPr>
                <w:rFonts w:asciiTheme="minorHAnsi" w:hAnsiTheme="minorHAnsi"/>
                <w:sz w:val="22"/>
                <w:szCs w:val="22"/>
                <w:lang w:eastAsia="en-US"/>
              </w:rPr>
            </w:pPr>
          </w:p>
        </w:tc>
        <w:tc>
          <w:tcPr>
            <w:tcW w:w="646" w:type="dxa"/>
          </w:tcPr>
          <w:p w14:paraId="4B6B2385"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Page</w:t>
            </w:r>
          </w:p>
        </w:tc>
      </w:tr>
      <w:tr w:rsidR="00126BD8" w:rsidRPr="0020138C" w14:paraId="7BA9DAFB" w14:textId="77777777" w:rsidTr="00D54EC2">
        <w:tc>
          <w:tcPr>
            <w:tcW w:w="667" w:type="dxa"/>
          </w:tcPr>
          <w:p w14:paraId="4327B61B" w14:textId="77777777" w:rsidR="00126BD8" w:rsidRPr="0020138C" w:rsidRDefault="00126BD8" w:rsidP="00126BD8">
            <w:pPr>
              <w:rPr>
                <w:rFonts w:asciiTheme="minorHAnsi" w:hAnsiTheme="minorHAnsi"/>
                <w:b/>
                <w:sz w:val="22"/>
                <w:szCs w:val="22"/>
                <w:lang w:eastAsia="en-US"/>
              </w:rPr>
            </w:pPr>
            <w:r w:rsidRPr="0020138C">
              <w:rPr>
                <w:rFonts w:asciiTheme="minorHAnsi" w:hAnsiTheme="minorHAnsi"/>
                <w:b/>
                <w:sz w:val="22"/>
                <w:szCs w:val="22"/>
                <w:lang w:eastAsia="en-US"/>
              </w:rPr>
              <w:t>1.</w:t>
            </w:r>
          </w:p>
        </w:tc>
        <w:tc>
          <w:tcPr>
            <w:tcW w:w="845" w:type="dxa"/>
          </w:tcPr>
          <w:p w14:paraId="6581FCAD" w14:textId="77777777" w:rsidR="00126BD8" w:rsidRPr="0020138C" w:rsidRDefault="00126BD8" w:rsidP="00126BD8">
            <w:pPr>
              <w:rPr>
                <w:rFonts w:asciiTheme="minorHAnsi" w:hAnsiTheme="minorHAnsi"/>
                <w:b/>
                <w:sz w:val="22"/>
                <w:szCs w:val="22"/>
                <w:lang w:eastAsia="en-US"/>
              </w:rPr>
            </w:pPr>
          </w:p>
        </w:tc>
        <w:tc>
          <w:tcPr>
            <w:tcW w:w="6138" w:type="dxa"/>
          </w:tcPr>
          <w:p w14:paraId="46C77501" w14:textId="64F20D06" w:rsidR="00126BD8" w:rsidRPr="008549C5" w:rsidRDefault="00EC45A2" w:rsidP="00126BD8">
            <w:pPr>
              <w:rPr>
                <w:rFonts w:asciiTheme="minorHAnsi" w:hAnsiTheme="minorHAnsi"/>
                <w:b/>
                <w:sz w:val="22"/>
                <w:szCs w:val="22"/>
                <w:lang w:eastAsia="en-US"/>
              </w:rPr>
            </w:pPr>
            <w:hyperlink w:anchor="_1._Overview_1" w:history="1">
              <w:r w:rsidR="00126BD8" w:rsidRPr="008549C5">
                <w:rPr>
                  <w:rStyle w:val="Hyperlink"/>
                  <w:rFonts w:asciiTheme="minorHAnsi" w:hAnsiTheme="minorHAnsi"/>
                  <w:b/>
                  <w:color w:val="auto"/>
                  <w:sz w:val="22"/>
                  <w:szCs w:val="22"/>
                  <w:u w:val="none"/>
                  <w:lang w:eastAsia="en-US"/>
                </w:rPr>
                <w:t>Overview</w:t>
              </w:r>
            </w:hyperlink>
          </w:p>
        </w:tc>
        <w:tc>
          <w:tcPr>
            <w:tcW w:w="646" w:type="dxa"/>
          </w:tcPr>
          <w:p w14:paraId="6CE08060" w14:textId="375332A3"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3</w:t>
            </w:r>
          </w:p>
        </w:tc>
      </w:tr>
      <w:tr w:rsidR="00126BD8" w:rsidRPr="0020138C" w14:paraId="06C6CC33" w14:textId="77777777" w:rsidTr="00D54EC2">
        <w:tc>
          <w:tcPr>
            <w:tcW w:w="667" w:type="dxa"/>
          </w:tcPr>
          <w:p w14:paraId="3E42D5FB" w14:textId="77777777" w:rsidR="00126BD8" w:rsidRPr="0020138C" w:rsidRDefault="00126BD8" w:rsidP="00126BD8">
            <w:pPr>
              <w:rPr>
                <w:rFonts w:asciiTheme="minorHAnsi" w:hAnsiTheme="minorHAnsi"/>
                <w:sz w:val="22"/>
                <w:szCs w:val="22"/>
                <w:lang w:eastAsia="en-US"/>
              </w:rPr>
            </w:pPr>
          </w:p>
        </w:tc>
        <w:tc>
          <w:tcPr>
            <w:tcW w:w="845" w:type="dxa"/>
          </w:tcPr>
          <w:p w14:paraId="2517CF55"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1.1</w:t>
            </w:r>
          </w:p>
        </w:tc>
        <w:tc>
          <w:tcPr>
            <w:tcW w:w="6138" w:type="dxa"/>
          </w:tcPr>
          <w:p w14:paraId="1D79BEDB" w14:textId="0A42641C" w:rsidR="00126BD8" w:rsidRPr="008549C5" w:rsidRDefault="00EC45A2" w:rsidP="00126BD8">
            <w:pPr>
              <w:rPr>
                <w:rFonts w:asciiTheme="minorHAnsi" w:hAnsiTheme="minorHAnsi"/>
                <w:sz w:val="22"/>
                <w:szCs w:val="22"/>
                <w:lang w:eastAsia="en-US"/>
              </w:rPr>
            </w:pPr>
            <w:hyperlink w:anchor="_1.1_Introduction" w:history="1">
              <w:r w:rsidR="00126BD8" w:rsidRPr="008549C5">
                <w:rPr>
                  <w:rStyle w:val="Hyperlink"/>
                  <w:rFonts w:asciiTheme="minorHAnsi" w:hAnsiTheme="minorHAnsi"/>
                  <w:color w:val="auto"/>
                  <w:sz w:val="22"/>
                  <w:szCs w:val="22"/>
                  <w:u w:val="none"/>
                  <w:lang w:eastAsia="en-US"/>
                </w:rPr>
                <w:t>Introduction</w:t>
              </w:r>
            </w:hyperlink>
          </w:p>
        </w:tc>
        <w:tc>
          <w:tcPr>
            <w:tcW w:w="646" w:type="dxa"/>
          </w:tcPr>
          <w:p w14:paraId="629B9C44" w14:textId="0DCA7328"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3</w:t>
            </w:r>
          </w:p>
        </w:tc>
      </w:tr>
      <w:tr w:rsidR="00126BD8" w:rsidRPr="0020138C" w14:paraId="2A4C8FA7" w14:textId="77777777" w:rsidTr="00D54EC2">
        <w:tc>
          <w:tcPr>
            <w:tcW w:w="667" w:type="dxa"/>
          </w:tcPr>
          <w:p w14:paraId="13947ECC" w14:textId="77777777" w:rsidR="00126BD8" w:rsidRPr="0020138C" w:rsidRDefault="00126BD8" w:rsidP="00126BD8">
            <w:pPr>
              <w:rPr>
                <w:rFonts w:asciiTheme="minorHAnsi" w:hAnsiTheme="minorHAnsi"/>
                <w:sz w:val="22"/>
                <w:szCs w:val="22"/>
                <w:lang w:eastAsia="en-US"/>
              </w:rPr>
            </w:pPr>
          </w:p>
        </w:tc>
        <w:tc>
          <w:tcPr>
            <w:tcW w:w="845" w:type="dxa"/>
          </w:tcPr>
          <w:p w14:paraId="42D1096A"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1.2</w:t>
            </w:r>
          </w:p>
        </w:tc>
        <w:tc>
          <w:tcPr>
            <w:tcW w:w="6138" w:type="dxa"/>
          </w:tcPr>
          <w:p w14:paraId="6862EEEA" w14:textId="25645BC7" w:rsidR="00126BD8" w:rsidRPr="008549C5" w:rsidRDefault="00EC45A2" w:rsidP="00126BD8">
            <w:pPr>
              <w:rPr>
                <w:rFonts w:asciiTheme="minorHAnsi" w:hAnsiTheme="minorHAnsi"/>
                <w:sz w:val="22"/>
                <w:szCs w:val="22"/>
                <w:lang w:eastAsia="en-US"/>
              </w:rPr>
            </w:pPr>
            <w:hyperlink w:anchor="_1.2_Approval_of" w:history="1">
              <w:r w:rsidR="00126BD8" w:rsidRPr="008549C5">
                <w:rPr>
                  <w:rStyle w:val="Hyperlink"/>
                  <w:rFonts w:asciiTheme="minorHAnsi" w:hAnsiTheme="minorHAnsi"/>
                  <w:color w:val="auto"/>
                  <w:sz w:val="22"/>
                  <w:szCs w:val="22"/>
                  <w:u w:val="none"/>
                  <w:lang w:eastAsia="en-US"/>
                </w:rPr>
                <w:t>Approval of new programmes</w:t>
              </w:r>
            </w:hyperlink>
          </w:p>
        </w:tc>
        <w:tc>
          <w:tcPr>
            <w:tcW w:w="646" w:type="dxa"/>
          </w:tcPr>
          <w:p w14:paraId="367464D2" w14:textId="2AB07423"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3</w:t>
            </w:r>
          </w:p>
        </w:tc>
      </w:tr>
      <w:tr w:rsidR="00126BD8" w:rsidRPr="0020138C" w14:paraId="43E995A0" w14:textId="77777777" w:rsidTr="00D54EC2">
        <w:tc>
          <w:tcPr>
            <w:tcW w:w="667" w:type="dxa"/>
          </w:tcPr>
          <w:p w14:paraId="562FB875" w14:textId="77777777" w:rsidR="00126BD8" w:rsidRPr="0020138C" w:rsidRDefault="00126BD8" w:rsidP="00126BD8">
            <w:pPr>
              <w:rPr>
                <w:rFonts w:asciiTheme="minorHAnsi" w:hAnsiTheme="minorHAnsi"/>
                <w:sz w:val="22"/>
                <w:szCs w:val="22"/>
                <w:lang w:eastAsia="en-US"/>
              </w:rPr>
            </w:pPr>
          </w:p>
        </w:tc>
        <w:tc>
          <w:tcPr>
            <w:tcW w:w="845" w:type="dxa"/>
          </w:tcPr>
          <w:p w14:paraId="7FC44295"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1.3</w:t>
            </w:r>
          </w:p>
        </w:tc>
        <w:tc>
          <w:tcPr>
            <w:tcW w:w="6138" w:type="dxa"/>
          </w:tcPr>
          <w:p w14:paraId="273B456B" w14:textId="59C111FB" w:rsidR="00126BD8" w:rsidRPr="008549C5" w:rsidRDefault="00EC45A2" w:rsidP="00126BD8">
            <w:pPr>
              <w:rPr>
                <w:rFonts w:asciiTheme="minorHAnsi" w:hAnsiTheme="minorHAnsi"/>
                <w:sz w:val="22"/>
                <w:szCs w:val="22"/>
                <w:lang w:eastAsia="en-US"/>
              </w:rPr>
            </w:pPr>
            <w:hyperlink w:anchor="_1.3_Approval_of" w:history="1">
              <w:r w:rsidR="00126BD8" w:rsidRPr="008549C5">
                <w:rPr>
                  <w:rStyle w:val="Hyperlink"/>
                  <w:rFonts w:asciiTheme="minorHAnsi" w:hAnsiTheme="minorHAnsi"/>
                  <w:color w:val="auto"/>
                  <w:sz w:val="22"/>
                  <w:szCs w:val="22"/>
                  <w:u w:val="none"/>
                  <w:lang w:eastAsia="en-US"/>
                </w:rPr>
                <w:t>Approval of new modules</w:t>
              </w:r>
            </w:hyperlink>
          </w:p>
        </w:tc>
        <w:tc>
          <w:tcPr>
            <w:tcW w:w="646" w:type="dxa"/>
          </w:tcPr>
          <w:p w14:paraId="27E2D3F1" w14:textId="4E643BCE"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4</w:t>
            </w:r>
          </w:p>
        </w:tc>
      </w:tr>
      <w:tr w:rsidR="00126BD8" w:rsidRPr="0020138C" w14:paraId="42307388" w14:textId="77777777" w:rsidTr="00D54EC2">
        <w:tc>
          <w:tcPr>
            <w:tcW w:w="667" w:type="dxa"/>
          </w:tcPr>
          <w:p w14:paraId="731DE321" w14:textId="77777777" w:rsidR="00126BD8" w:rsidRPr="0020138C" w:rsidRDefault="00126BD8" w:rsidP="00126BD8">
            <w:pPr>
              <w:rPr>
                <w:rFonts w:asciiTheme="minorHAnsi" w:hAnsiTheme="minorHAnsi"/>
                <w:sz w:val="22"/>
                <w:szCs w:val="22"/>
                <w:lang w:eastAsia="en-US"/>
              </w:rPr>
            </w:pPr>
          </w:p>
        </w:tc>
        <w:tc>
          <w:tcPr>
            <w:tcW w:w="845" w:type="dxa"/>
          </w:tcPr>
          <w:p w14:paraId="5C9F582E"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1.4</w:t>
            </w:r>
          </w:p>
        </w:tc>
        <w:tc>
          <w:tcPr>
            <w:tcW w:w="6138" w:type="dxa"/>
          </w:tcPr>
          <w:p w14:paraId="6806CBD4" w14:textId="690C3CEA" w:rsidR="00126BD8" w:rsidRPr="008549C5" w:rsidRDefault="00EC45A2" w:rsidP="00126BD8">
            <w:pPr>
              <w:rPr>
                <w:rFonts w:asciiTheme="minorHAnsi" w:hAnsiTheme="minorHAnsi"/>
                <w:sz w:val="22"/>
                <w:szCs w:val="22"/>
                <w:lang w:eastAsia="en-US"/>
              </w:rPr>
            </w:pPr>
            <w:hyperlink w:anchor="_1.4_Approval_of" w:history="1">
              <w:r w:rsidR="00126BD8" w:rsidRPr="008549C5">
                <w:rPr>
                  <w:rStyle w:val="Hyperlink"/>
                  <w:rFonts w:asciiTheme="minorHAnsi" w:hAnsiTheme="minorHAnsi"/>
                  <w:color w:val="auto"/>
                  <w:sz w:val="22"/>
                  <w:szCs w:val="22"/>
                  <w:u w:val="none"/>
                  <w:lang w:eastAsia="en-US"/>
                </w:rPr>
                <w:t>Approval of non-credit-bearing programmes</w:t>
              </w:r>
            </w:hyperlink>
          </w:p>
        </w:tc>
        <w:tc>
          <w:tcPr>
            <w:tcW w:w="646" w:type="dxa"/>
          </w:tcPr>
          <w:p w14:paraId="67C66C2A" w14:textId="7657268C"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4</w:t>
            </w:r>
          </w:p>
        </w:tc>
      </w:tr>
      <w:tr w:rsidR="00126BD8" w:rsidRPr="0020138C" w14:paraId="15BC3FE1" w14:textId="77777777" w:rsidTr="00D54EC2">
        <w:tc>
          <w:tcPr>
            <w:tcW w:w="667" w:type="dxa"/>
          </w:tcPr>
          <w:p w14:paraId="57CCEDF0" w14:textId="77777777" w:rsidR="00126BD8" w:rsidRPr="0020138C" w:rsidRDefault="00126BD8" w:rsidP="00126BD8">
            <w:pPr>
              <w:rPr>
                <w:rFonts w:asciiTheme="minorHAnsi" w:hAnsiTheme="minorHAnsi"/>
                <w:b/>
                <w:sz w:val="22"/>
                <w:szCs w:val="22"/>
                <w:lang w:eastAsia="en-US"/>
              </w:rPr>
            </w:pPr>
            <w:r w:rsidRPr="0020138C">
              <w:rPr>
                <w:rFonts w:asciiTheme="minorHAnsi" w:hAnsiTheme="minorHAnsi"/>
                <w:b/>
                <w:sz w:val="22"/>
                <w:szCs w:val="22"/>
                <w:lang w:eastAsia="en-US"/>
              </w:rPr>
              <w:t>2.</w:t>
            </w:r>
          </w:p>
        </w:tc>
        <w:tc>
          <w:tcPr>
            <w:tcW w:w="845" w:type="dxa"/>
          </w:tcPr>
          <w:p w14:paraId="6BD0FF9B" w14:textId="77777777" w:rsidR="00126BD8" w:rsidRPr="0020138C" w:rsidRDefault="00126BD8" w:rsidP="00126BD8">
            <w:pPr>
              <w:rPr>
                <w:rFonts w:asciiTheme="minorHAnsi" w:hAnsiTheme="minorHAnsi"/>
                <w:b/>
                <w:sz w:val="22"/>
                <w:szCs w:val="22"/>
                <w:lang w:eastAsia="en-US"/>
              </w:rPr>
            </w:pPr>
          </w:p>
        </w:tc>
        <w:tc>
          <w:tcPr>
            <w:tcW w:w="6138" w:type="dxa"/>
          </w:tcPr>
          <w:p w14:paraId="4BEABAF8" w14:textId="14DD7B31" w:rsidR="00126BD8" w:rsidRPr="008549C5" w:rsidRDefault="00EC45A2" w:rsidP="00126BD8">
            <w:pPr>
              <w:rPr>
                <w:rFonts w:asciiTheme="minorHAnsi" w:hAnsiTheme="minorHAnsi"/>
                <w:b/>
                <w:sz w:val="22"/>
                <w:szCs w:val="22"/>
                <w:lang w:eastAsia="en-US"/>
              </w:rPr>
            </w:pPr>
            <w:hyperlink w:anchor="_2._New_programme_1" w:history="1">
              <w:r w:rsidR="00126BD8" w:rsidRPr="008549C5">
                <w:rPr>
                  <w:rStyle w:val="Hyperlink"/>
                  <w:rFonts w:asciiTheme="minorHAnsi" w:hAnsiTheme="minorHAnsi"/>
                  <w:b/>
                  <w:color w:val="auto"/>
                  <w:sz w:val="22"/>
                  <w:szCs w:val="22"/>
                  <w:u w:val="none"/>
                  <w:lang w:eastAsia="en-US"/>
                </w:rPr>
                <w:t>New programme approval</w:t>
              </w:r>
            </w:hyperlink>
          </w:p>
        </w:tc>
        <w:tc>
          <w:tcPr>
            <w:tcW w:w="646" w:type="dxa"/>
          </w:tcPr>
          <w:p w14:paraId="07139809" w14:textId="086ECB77"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5</w:t>
            </w:r>
          </w:p>
        </w:tc>
      </w:tr>
      <w:tr w:rsidR="00126BD8" w:rsidRPr="0020138C" w14:paraId="1601C0C9" w14:textId="77777777" w:rsidTr="00D54EC2">
        <w:tc>
          <w:tcPr>
            <w:tcW w:w="667" w:type="dxa"/>
          </w:tcPr>
          <w:p w14:paraId="71EB4D76" w14:textId="77777777" w:rsidR="00126BD8" w:rsidRPr="0020138C" w:rsidRDefault="00126BD8" w:rsidP="00126BD8">
            <w:pPr>
              <w:rPr>
                <w:rFonts w:asciiTheme="minorHAnsi" w:hAnsiTheme="minorHAnsi"/>
                <w:sz w:val="22"/>
                <w:szCs w:val="22"/>
                <w:lang w:eastAsia="en-US"/>
              </w:rPr>
            </w:pPr>
          </w:p>
        </w:tc>
        <w:tc>
          <w:tcPr>
            <w:tcW w:w="845" w:type="dxa"/>
          </w:tcPr>
          <w:p w14:paraId="6B07A6F1"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2.1</w:t>
            </w:r>
          </w:p>
        </w:tc>
        <w:tc>
          <w:tcPr>
            <w:tcW w:w="6138" w:type="dxa"/>
          </w:tcPr>
          <w:p w14:paraId="1F9C6E27" w14:textId="69CAD9F5" w:rsidR="00126BD8" w:rsidRPr="008549C5" w:rsidRDefault="00EC45A2" w:rsidP="00126BD8">
            <w:pPr>
              <w:rPr>
                <w:rFonts w:asciiTheme="minorHAnsi" w:hAnsiTheme="minorHAnsi"/>
                <w:sz w:val="22"/>
                <w:szCs w:val="22"/>
                <w:lang w:eastAsia="en-US"/>
              </w:rPr>
            </w:pPr>
            <w:hyperlink w:anchor="_2.1_Preamble" w:history="1">
              <w:r w:rsidR="00126BD8" w:rsidRPr="008549C5">
                <w:rPr>
                  <w:rStyle w:val="Hyperlink"/>
                  <w:rFonts w:asciiTheme="minorHAnsi" w:hAnsiTheme="minorHAnsi"/>
                  <w:color w:val="auto"/>
                  <w:sz w:val="22"/>
                  <w:szCs w:val="22"/>
                  <w:u w:val="none"/>
                  <w:lang w:eastAsia="en-US"/>
                </w:rPr>
                <w:t>Preamble</w:t>
              </w:r>
            </w:hyperlink>
          </w:p>
        </w:tc>
        <w:tc>
          <w:tcPr>
            <w:tcW w:w="646" w:type="dxa"/>
          </w:tcPr>
          <w:p w14:paraId="4F3A98B9" w14:textId="1D80386C" w:rsidR="00126BD8" w:rsidRPr="008549C5" w:rsidRDefault="00F33B74" w:rsidP="00126BD8">
            <w:pPr>
              <w:rPr>
                <w:rFonts w:asciiTheme="minorHAnsi" w:hAnsiTheme="minorHAnsi"/>
                <w:sz w:val="22"/>
                <w:szCs w:val="22"/>
                <w:lang w:eastAsia="en-US"/>
              </w:rPr>
            </w:pPr>
            <w:r w:rsidRPr="008549C5">
              <w:rPr>
                <w:rFonts w:asciiTheme="minorHAnsi" w:hAnsiTheme="minorHAnsi"/>
                <w:sz w:val="22"/>
                <w:szCs w:val="22"/>
                <w:lang w:eastAsia="en-US"/>
              </w:rPr>
              <w:t>5</w:t>
            </w:r>
          </w:p>
        </w:tc>
      </w:tr>
      <w:tr w:rsidR="00126BD8" w:rsidRPr="0020138C" w14:paraId="5D8FF0EE" w14:textId="77777777" w:rsidTr="00D54EC2">
        <w:tc>
          <w:tcPr>
            <w:tcW w:w="667" w:type="dxa"/>
          </w:tcPr>
          <w:p w14:paraId="5C4D8EBF" w14:textId="77777777" w:rsidR="00126BD8" w:rsidRPr="0020138C" w:rsidRDefault="00126BD8" w:rsidP="00126BD8">
            <w:pPr>
              <w:rPr>
                <w:rFonts w:asciiTheme="minorHAnsi" w:hAnsiTheme="minorHAnsi"/>
                <w:sz w:val="22"/>
                <w:szCs w:val="22"/>
                <w:lang w:eastAsia="en-US"/>
              </w:rPr>
            </w:pPr>
          </w:p>
        </w:tc>
        <w:tc>
          <w:tcPr>
            <w:tcW w:w="845" w:type="dxa"/>
          </w:tcPr>
          <w:p w14:paraId="266A2A47"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2.2</w:t>
            </w:r>
          </w:p>
        </w:tc>
        <w:tc>
          <w:tcPr>
            <w:tcW w:w="6138" w:type="dxa"/>
          </w:tcPr>
          <w:p w14:paraId="51E4A70E" w14:textId="0E1373A8" w:rsidR="00126BD8" w:rsidRPr="008549C5" w:rsidRDefault="00EC45A2" w:rsidP="00126BD8">
            <w:pPr>
              <w:rPr>
                <w:rFonts w:asciiTheme="minorHAnsi" w:hAnsiTheme="minorHAnsi"/>
                <w:sz w:val="22"/>
                <w:szCs w:val="22"/>
                <w:lang w:eastAsia="en-US"/>
              </w:rPr>
            </w:pPr>
            <w:hyperlink w:anchor="_2.2_Development_and" w:history="1">
              <w:r w:rsidR="00126BD8" w:rsidRPr="008549C5">
                <w:rPr>
                  <w:rStyle w:val="Hyperlink"/>
                  <w:rFonts w:asciiTheme="minorHAnsi" w:hAnsiTheme="minorHAnsi"/>
                  <w:color w:val="auto"/>
                  <w:sz w:val="22"/>
                  <w:szCs w:val="22"/>
                  <w:u w:val="none"/>
                  <w:lang w:eastAsia="en-US"/>
                </w:rPr>
                <w:t>Development and approval of a rationale and business case for a new taught programme</w:t>
              </w:r>
            </w:hyperlink>
          </w:p>
        </w:tc>
        <w:tc>
          <w:tcPr>
            <w:tcW w:w="646" w:type="dxa"/>
          </w:tcPr>
          <w:p w14:paraId="4BE9A5F1" w14:textId="5C68121E"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5</w:t>
            </w:r>
          </w:p>
        </w:tc>
      </w:tr>
      <w:tr w:rsidR="00126BD8" w:rsidRPr="0020138C" w14:paraId="2E0A9EAE" w14:textId="77777777" w:rsidTr="00D54EC2">
        <w:tc>
          <w:tcPr>
            <w:tcW w:w="667" w:type="dxa"/>
          </w:tcPr>
          <w:p w14:paraId="761AC741" w14:textId="77777777" w:rsidR="00126BD8" w:rsidRPr="0020138C" w:rsidRDefault="00126BD8" w:rsidP="00126BD8">
            <w:pPr>
              <w:rPr>
                <w:rFonts w:asciiTheme="minorHAnsi" w:hAnsiTheme="minorHAnsi"/>
                <w:sz w:val="22"/>
                <w:szCs w:val="22"/>
                <w:lang w:eastAsia="en-US"/>
              </w:rPr>
            </w:pPr>
          </w:p>
        </w:tc>
        <w:tc>
          <w:tcPr>
            <w:tcW w:w="845" w:type="dxa"/>
          </w:tcPr>
          <w:p w14:paraId="7C5AFEEC"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2.3</w:t>
            </w:r>
          </w:p>
        </w:tc>
        <w:tc>
          <w:tcPr>
            <w:tcW w:w="6138" w:type="dxa"/>
          </w:tcPr>
          <w:p w14:paraId="49F29CBE" w14:textId="14616BF5" w:rsidR="00126BD8" w:rsidRPr="008549C5" w:rsidRDefault="00EC45A2" w:rsidP="00126BD8">
            <w:pPr>
              <w:rPr>
                <w:rFonts w:asciiTheme="minorHAnsi" w:hAnsiTheme="minorHAnsi"/>
                <w:sz w:val="22"/>
                <w:szCs w:val="22"/>
                <w:lang w:eastAsia="en-US"/>
              </w:rPr>
            </w:pPr>
            <w:hyperlink w:anchor="_2.3_Design_of" w:history="1">
              <w:r w:rsidR="00126BD8" w:rsidRPr="008549C5">
                <w:rPr>
                  <w:rStyle w:val="Hyperlink"/>
                  <w:rFonts w:asciiTheme="minorHAnsi" w:hAnsiTheme="minorHAnsi"/>
                  <w:color w:val="auto"/>
                  <w:sz w:val="22"/>
                  <w:szCs w:val="22"/>
                  <w:u w:val="none"/>
                  <w:lang w:eastAsia="en-US"/>
                </w:rPr>
                <w:t>Design of a new taught programme</w:t>
              </w:r>
            </w:hyperlink>
          </w:p>
        </w:tc>
        <w:tc>
          <w:tcPr>
            <w:tcW w:w="646" w:type="dxa"/>
          </w:tcPr>
          <w:p w14:paraId="7B740C59" w14:textId="1F8BE7E9"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5</w:t>
            </w:r>
          </w:p>
        </w:tc>
      </w:tr>
      <w:tr w:rsidR="00126BD8" w:rsidRPr="0020138C" w14:paraId="15E4465F" w14:textId="77777777" w:rsidTr="00D54EC2">
        <w:tc>
          <w:tcPr>
            <w:tcW w:w="667" w:type="dxa"/>
          </w:tcPr>
          <w:p w14:paraId="687645DC" w14:textId="77777777" w:rsidR="00126BD8" w:rsidRPr="0020138C" w:rsidRDefault="00126BD8" w:rsidP="00126BD8">
            <w:pPr>
              <w:rPr>
                <w:rFonts w:asciiTheme="minorHAnsi" w:hAnsiTheme="minorHAnsi"/>
                <w:sz w:val="22"/>
                <w:szCs w:val="22"/>
                <w:lang w:eastAsia="en-US"/>
              </w:rPr>
            </w:pPr>
          </w:p>
        </w:tc>
        <w:tc>
          <w:tcPr>
            <w:tcW w:w="845" w:type="dxa"/>
          </w:tcPr>
          <w:p w14:paraId="1C630229"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2.4</w:t>
            </w:r>
          </w:p>
        </w:tc>
        <w:tc>
          <w:tcPr>
            <w:tcW w:w="6138" w:type="dxa"/>
          </w:tcPr>
          <w:p w14:paraId="1D568E54" w14:textId="3988290A" w:rsidR="00126BD8" w:rsidRPr="008549C5" w:rsidRDefault="00EC45A2" w:rsidP="00126BD8">
            <w:pPr>
              <w:rPr>
                <w:rFonts w:asciiTheme="minorHAnsi" w:hAnsiTheme="minorHAnsi"/>
                <w:sz w:val="22"/>
                <w:szCs w:val="22"/>
                <w:lang w:eastAsia="en-US"/>
              </w:rPr>
            </w:pPr>
            <w:hyperlink w:anchor="_2.4_Drafting_of" w:history="1">
              <w:r w:rsidR="00126BD8" w:rsidRPr="008549C5">
                <w:rPr>
                  <w:rStyle w:val="Hyperlink"/>
                  <w:rFonts w:asciiTheme="minorHAnsi" w:hAnsiTheme="minorHAnsi"/>
                  <w:color w:val="auto"/>
                  <w:sz w:val="22"/>
                  <w:szCs w:val="22"/>
                  <w:u w:val="none"/>
                  <w:lang w:eastAsia="en-US"/>
                </w:rPr>
                <w:t>Drafting of the programme documentation</w:t>
              </w:r>
            </w:hyperlink>
          </w:p>
        </w:tc>
        <w:tc>
          <w:tcPr>
            <w:tcW w:w="646" w:type="dxa"/>
          </w:tcPr>
          <w:p w14:paraId="1C9EDF2B" w14:textId="554C9568"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6</w:t>
            </w:r>
          </w:p>
        </w:tc>
      </w:tr>
      <w:tr w:rsidR="00126BD8" w:rsidRPr="0020138C" w14:paraId="78AD703D" w14:textId="77777777" w:rsidTr="00D54EC2">
        <w:tc>
          <w:tcPr>
            <w:tcW w:w="667" w:type="dxa"/>
          </w:tcPr>
          <w:p w14:paraId="716C6481" w14:textId="77777777" w:rsidR="00126BD8" w:rsidRPr="0020138C" w:rsidRDefault="00126BD8" w:rsidP="00126BD8">
            <w:pPr>
              <w:rPr>
                <w:rFonts w:asciiTheme="minorHAnsi" w:hAnsiTheme="minorHAnsi"/>
                <w:sz w:val="22"/>
                <w:szCs w:val="22"/>
                <w:lang w:eastAsia="en-US"/>
              </w:rPr>
            </w:pPr>
          </w:p>
        </w:tc>
        <w:tc>
          <w:tcPr>
            <w:tcW w:w="845" w:type="dxa"/>
          </w:tcPr>
          <w:p w14:paraId="66589954"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2.5</w:t>
            </w:r>
          </w:p>
        </w:tc>
        <w:tc>
          <w:tcPr>
            <w:tcW w:w="6138" w:type="dxa"/>
          </w:tcPr>
          <w:p w14:paraId="6FFF1E14" w14:textId="7318227B" w:rsidR="00126BD8" w:rsidRPr="008549C5" w:rsidRDefault="00EC45A2" w:rsidP="00126BD8">
            <w:pPr>
              <w:rPr>
                <w:rFonts w:asciiTheme="minorHAnsi" w:hAnsiTheme="minorHAnsi"/>
                <w:sz w:val="22"/>
                <w:szCs w:val="22"/>
                <w:lang w:eastAsia="en-US"/>
              </w:rPr>
            </w:pPr>
            <w:hyperlink w:anchor="_2.5_Initial_discussions" w:history="1">
              <w:r w:rsidR="00126BD8" w:rsidRPr="008549C5">
                <w:rPr>
                  <w:rStyle w:val="Hyperlink"/>
                  <w:rFonts w:asciiTheme="minorHAnsi" w:hAnsiTheme="minorHAnsi"/>
                  <w:color w:val="auto"/>
                  <w:sz w:val="22"/>
                  <w:szCs w:val="22"/>
                  <w:u w:val="none"/>
                  <w:lang w:eastAsia="en-US"/>
                </w:rPr>
                <w:t>Initial discussions with Professional Services</w:t>
              </w:r>
            </w:hyperlink>
          </w:p>
        </w:tc>
        <w:tc>
          <w:tcPr>
            <w:tcW w:w="646" w:type="dxa"/>
          </w:tcPr>
          <w:p w14:paraId="2931DB0E" w14:textId="760CA6B9"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6</w:t>
            </w:r>
          </w:p>
        </w:tc>
      </w:tr>
      <w:tr w:rsidR="00126BD8" w:rsidRPr="0020138C" w14:paraId="45D03BE6" w14:textId="77777777" w:rsidTr="00D54EC2">
        <w:tc>
          <w:tcPr>
            <w:tcW w:w="667" w:type="dxa"/>
          </w:tcPr>
          <w:p w14:paraId="30B7D14B" w14:textId="77777777" w:rsidR="00126BD8" w:rsidRPr="0020138C" w:rsidRDefault="00126BD8" w:rsidP="00126BD8">
            <w:pPr>
              <w:rPr>
                <w:rFonts w:asciiTheme="minorHAnsi" w:hAnsiTheme="minorHAnsi"/>
                <w:sz w:val="22"/>
                <w:szCs w:val="22"/>
                <w:lang w:eastAsia="en-US"/>
              </w:rPr>
            </w:pPr>
          </w:p>
        </w:tc>
        <w:tc>
          <w:tcPr>
            <w:tcW w:w="845" w:type="dxa"/>
          </w:tcPr>
          <w:p w14:paraId="16E4EAE9"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2.6</w:t>
            </w:r>
          </w:p>
        </w:tc>
        <w:tc>
          <w:tcPr>
            <w:tcW w:w="6138" w:type="dxa"/>
          </w:tcPr>
          <w:p w14:paraId="6714BD1E" w14:textId="33EDD7AF" w:rsidR="00126BD8" w:rsidRPr="008549C5" w:rsidRDefault="00EC45A2" w:rsidP="00126BD8">
            <w:pPr>
              <w:rPr>
                <w:rFonts w:asciiTheme="minorHAnsi" w:hAnsiTheme="minorHAnsi"/>
                <w:sz w:val="22"/>
                <w:szCs w:val="22"/>
                <w:lang w:eastAsia="en-US"/>
              </w:rPr>
            </w:pPr>
            <w:hyperlink w:anchor="_2.6_Scrutiny_of" w:history="1">
              <w:r w:rsidR="00126BD8" w:rsidRPr="008549C5">
                <w:rPr>
                  <w:rStyle w:val="Hyperlink"/>
                  <w:rFonts w:asciiTheme="minorHAnsi" w:hAnsiTheme="minorHAnsi"/>
                  <w:color w:val="auto"/>
                  <w:sz w:val="22"/>
                  <w:szCs w:val="22"/>
                  <w:u w:val="none"/>
                  <w:lang w:eastAsia="en-US"/>
                </w:rPr>
                <w:t>Scrutiny of the draft programme documentation by a Panel of Assessors</w:t>
              </w:r>
            </w:hyperlink>
          </w:p>
        </w:tc>
        <w:tc>
          <w:tcPr>
            <w:tcW w:w="646" w:type="dxa"/>
          </w:tcPr>
          <w:p w14:paraId="21A804E3" w14:textId="5E64EF48"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6</w:t>
            </w:r>
          </w:p>
        </w:tc>
      </w:tr>
      <w:tr w:rsidR="00126BD8" w:rsidRPr="0020138C" w14:paraId="2B3D4A31" w14:textId="77777777" w:rsidTr="00D54EC2">
        <w:tc>
          <w:tcPr>
            <w:tcW w:w="667" w:type="dxa"/>
          </w:tcPr>
          <w:p w14:paraId="6096D2AD" w14:textId="77777777" w:rsidR="00126BD8" w:rsidRPr="0020138C" w:rsidRDefault="00126BD8" w:rsidP="00126BD8">
            <w:pPr>
              <w:rPr>
                <w:rFonts w:asciiTheme="minorHAnsi" w:hAnsiTheme="minorHAnsi"/>
                <w:sz w:val="22"/>
                <w:szCs w:val="22"/>
                <w:lang w:eastAsia="en-US"/>
              </w:rPr>
            </w:pPr>
          </w:p>
        </w:tc>
        <w:tc>
          <w:tcPr>
            <w:tcW w:w="845" w:type="dxa"/>
          </w:tcPr>
          <w:p w14:paraId="151D14D0"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2.7</w:t>
            </w:r>
          </w:p>
        </w:tc>
        <w:tc>
          <w:tcPr>
            <w:tcW w:w="6138" w:type="dxa"/>
          </w:tcPr>
          <w:p w14:paraId="17B41A80" w14:textId="0BC6EBDD" w:rsidR="00126BD8" w:rsidRPr="008549C5" w:rsidRDefault="00EC45A2" w:rsidP="00126BD8">
            <w:pPr>
              <w:rPr>
                <w:rFonts w:asciiTheme="minorHAnsi" w:hAnsiTheme="minorHAnsi"/>
                <w:bCs/>
                <w:iCs/>
                <w:sz w:val="22"/>
                <w:szCs w:val="22"/>
                <w:lang w:eastAsia="en-US"/>
              </w:rPr>
            </w:pPr>
            <w:hyperlink w:anchor="_2.7_Formative_feedback" w:history="1">
              <w:r w:rsidR="00126BD8" w:rsidRPr="008549C5">
                <w:rPr>
                  <w:rStyle w:val="Hyperlink"/>
                  <w:rFonts w:asciiTheme="minorHAnsi" w:hAnsiTheme="minorHAnsi"/>
                  <w:bCs/>
                  <w:iCs/>
                  <w:color w:val="auto"/>
                  <w:sz w:val="22"/>
                  <w:szCs w:val="22"/>
                  <w:u w:val="none"/>
                  <w:lang w:eastAsia="en-US"/>
                </w:rPr>
                <w:t>Formative feedback from Schools, Professional Services, DUSA and senior executives</w:t>
              </w:r>
            </w:hyperlink>
          </w:p>
        </w:tc>
        <w:tc>
          <w:tcPr>
            <w:tcW w:w="646" w:type="dxa"/>
          </w:tcPr>
          <w:p w14:paraId="7369570C" w14:textId="613C8288"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8</w:t>
            </w:r>
          </w:p>
        </w:tc>
      </w:tr>
      <w:tr w:rsidR="00126BD8" w:rsidRPr="0020138C" w14:paraId="1B2CF95D" w14:textId="77777777" w:rsidTr="00D54EC2">
        <w:tc>
          <w:tcPr>
            <w:tcW w:w="667" w:type="dxa"/>
          </w:tcPr>
          <w:p w14:paraId="695403C1" w14:textId="77777777" w:rsidR="00126BD8" w:rsidRPr="0020138C" w:rsidRDefault="00126BD8" w:rsidP="00126BD8">
            <w:pPr>
              <w:rPr>
                <w:rFonts w:asciiTheme="minorHAnsi" w:hAnsiTheme="minorHAnsi"/>
                <w:sz w:val="22"/>
                <w:szCs w:val="22"/>
                <w:lang w:eastAsia="en-US"/>
              </w:rPr>
            </w:pPr>
          </w:p>
        </w:tc>
        <w:tc>
          <w:tcPr>
            <w:tcW w:w="845" w:type="dxa"/>
          </w:tcPr>
          <w:p w14:paraId="5720E7AA"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2.8</w:t>
            </w:r>
          </w:p>
        </w:tc>
        <w:tc>
          <w:tcPr>
            <w:tcW w:w="6138" w:type="dxa"/>
          </w:tcPr>
          <w:p w14:paraId="24645BD2" w14:textId="1B16E3B9" w:rsidR="00126BD8" w:rsidRPr="008549C5" w:rsidRDefault="00EC45A2" w:rsidP="00126BD8">
            <w:pPr>
              <w:rPr>
                <w:rFonts w:asciiTheme="minorHAnsi" w:hAnsiTheme="minorHAnsi"/>
                <w:sz w:val="22"/>
                <w:szCs w:val="22"/>
                <w:lang w:eastAsia="en-US"/>
              </w:rPr>
            </w:pPr>
            <w:hyperlink w:anchor="_2.8_Formal_consideration" w:history="1">
              <w:r w:rsidR="00126BD8" w:rsidRPr="008549C5">
                <w:rPr>
                  <w:rStyle w:val="Hyperlink"/>
                  <w:rFonts w:asciiTheme="minorHAnsi" w:hAnsiTheme="minorHAnsi"/>
                  <w:color w:val="auto"/>
                  <w:sz w:val="22"/>
                  <w:szCs w:val="22"/>
                  <w:u w:val="none"/>
                  <w:lang w:eastAsia="en-US"/>
                </w:rPr>
                <w:t>Formal consideration of the programme documentation by School committee(s)</w:t>
              </w:r>
            </w:hyperlink>
          </w:p>
        </w:tc>
        <w:tc>
          <w:tcPr>
            <w:tcW w:w="646" w:type="dxa"/>
          </w:tcPr>
          <w:p w14:paraId="392352D1" w14:textId="69689264"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8</w:t>
            </w:r>
          </w:p>
        </w:tc>
      </w:tr>
      <w:tr w:rsidR="00126BD8" w:rsidRPr="0020138C" w14:paraId="6CDBF6F7" w14:textId="77777777" w:rsidTr="00D54EC2">
        <w:tc>
          <w:tcPr>
            <w:tcW w:w="667" w:type="dxa"/>
          </w:tcPr>
          <w:p w14:paraId="27672BAB" w14:textId="77777777" w:rsidR="00126BD8" w:rsidRPr="0020138C" w:rsidRDefault="00126BD8" w:rsidP="00126BD8">
            <w:pPr>
              <w:rPr>
                <w:rFonts w:asciiTheme="minorHAnsi" w:hAnsiTheme="minorHAnsi"/>
                <w:sz w:val="22"/>
                <w:szCs w:val="22"/>
                <w:lang w:eastAsia="en-US"/>
              </w:rPr>
            </w:pPr>
          </w:p>
        </w:tc>
        <w:tc>
          <w:tcPr>
            <w:tcW w:w="845" w:type="dxa"/>
          </w:tcPr>
          <w:p w14:paraId="3C031284"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2.9</w:t>
            </w:r>
          </w:p>
        </w:tc>
        <w:tc>
          <w:tcPr>
            <w:tcW w:w="6138" w:type="dxa"/>
          </w:tcPr>
          <w:p w14:paraId="5CEA3229" w14:textId="348A9DA8" w:rsidR="00126BD8" w:rsidRPr="008549C5" w:rsidRDefault="00EC45A2" w:rsidP="00126BD8">
            <w:pPr>
              <w:rPr>
                <w:rFonts w:asciiTheme="minorHAnsi" w:hAnsiTheme="minorHAnsi"/>
                <w:bCs/>
                <w:iCs/>
                <w:sz w:val="22"/>
                <w:szCs w:val="22"/>
                <w:lang w:eastAsia="en-US"/>
              </w:rPr>
            </w:pPr>
            <w:hyperlink w:anchor="_2.9_Formal_academic" w:history="1">
              <w:r w:rsidR="00126BD8" w:rsidRPr="008549C5">
                <w:rPr>
                  <w:rStyle w:val="Hyperlink"/>
                  <w:rFonts w:asciiTheme="minorHAnsi" w:hAnsiTheme="minorHAnsi"/>
                  <w:bCs/>
                  <w:iCs/>
                  <w:color w:val="auto"/>
                  <w:sz w:val="22"/>
                  <w:szCs w:val="22"/>
                  <w:u w:val="none"/>
                  <w:lang w:eastAsia="en-US"/>
                </w:rPr>
                <w:t>Formal academic approval of the proposed new taught programme</w:t>
              </w:r>
            </w:hyperlink>
          </w:p>
        </w:tc>
        <w:tc>
          <w:tcPr>
            <w:tcW w:w="646" w:type="dxa"/>
          </w:tcPr>
          <w:p w14:paraId="1F93316D" w14:textId="6BC4F140"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9</w:t>
            </w:r>
          </w:p>
        </w:tc>
      </w:tr>
      <w:tr w:rsidR="00126BD8" w:rsidRPr="0020138C" w14:paraId="14AA24BA" w14:textId="77777777" w:rsidTr="00D54EC2">
        <w:tc>
          <w:tcPr>
            <w:tcW w:w="667" w:type="dxa"/>
          </w:tcPr>
          <w:p w14:paraId="4D9E4FCD" w14:textId="77777777" w:rsidR="00126BD8" w:rsidRPr="0020138C" w:rsidRDefault="00126BD8" w:rsidP="00126BD8">
            <w:pPr>
              <w:rPr>
                <w:rFonts w:asciiTheme="minorHAnsi" w:hAnsiTheme="minorHAnsi"/>
                <w:sz w:val="22"/>
                <w:szCs w:val="22"/>
                <w:lang w:eastAsia="en-US"/>
              </w:rPr>
            </w:pPr>
          </w:p>
        </w:tc>
        <w:tc>
          <w:tcPr>
            <w:tcW w:w="845" w:type="dxa"/>
          </w:tcPr>
          <w:p w14:paraId="4D683EDE"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2.10</w:t>
            </w:r>
          </w:p>
        </w:tc>
        <w:tc>
          <w:tcPr>
            <w:tcW w:w="6138" w:type="dxa"/>
          </w:tcPr>
          <w:p w14:paraId="3340AADC" w14:textId="57CAF780" w:rsidR="00126BD8" w:rsidRPr="008549C5" w:rsidRDefault="00EC45A2" w:rsidP="00126BD8">
            <w:pPr>
              <w:rPr>
                <w:rFonts w:asciiTheme="minorHAnsi" w:hAnsiTheme="minorHAnsi"/>
                <w:sz w:val="22"/>
                <w:szCs w:val="22"/>
                <w:lang w:eastAsia="en-US"/>
              </w:rPr>
            </w:pPr>
            <w:hyperlink w:anchor="_2.10_Launch_and" w:history="1">
              <w:r w:rsidR="00126BD8" w:rsidRPr="008549C5">
                <w:rPr>
                  <w:rStyle w:val="Hyperlink"/>
                  <w:rFonts w:asciiTheme="minorHAnsi" w:hAnsiTheme="minorHAnsi"/>
                  <w:color w:val="auto"/>
                  <w:sz w:val="22"/>
                  <w:szCs w:val="22"/>
                  <w:u w:val="none"/>
                  <w:lang w:eastAsia="en-US"/>
                </w:rPr>
                <w:t>Launch and review of the new programme</w:t>
              </w:r>
            </w:hyperlink>
          </w:p>
        </w:tc>
        <w:tc>
          <w:tcPr>
            <w:tcW w:w="646" w:type="dxa"/>
          </w:tcPr>
          <w:p w14:paraId="52E77617" w14:textId="7D6805CE"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9</w:t>
            </w:r>
          </w:p>
        </w:tc>
      </w:tr>
      <w:tr w:rsidR="00126BD8" w:rsidRPr="0020138C" w14:paraId="30B4A920" w14:textId="77777777" w:rsidTr="00D54EC2">
        <w:tc>
          <w:tcPr>
            <w:tcW w:w="667" w:type="dxa"/>
          </w:tcPr>
          <w:p w14:paraId="5E4FBB46" w14:textId="77777777" w:rsidR="00126BD8" w:rsidRPr="0020138C" w:rsidRDefault="00126BD8" w:rsidP="00126BD8">
            <w:pPr>
              <w:rPr>
                <w:rFonts w:asciiTheme="minorHAnsi" w:hAnsiTheme="minorHAnsi"/>
                <w:b/>
                <w:sz w:val="22"/>
                <w:szCs w:val="22"/>
                <w:lang w:eastAsia="en-US"/>
              </w:rPr>
            </w:pPr>
            <w:r w:rsidRPr="0020138C">
              <w:rPr>
                <w:rFonts w:asciiTheme="minorHAnsi" w:hAnsiTheme="minorHAnsi"/>
                <w:b/>
                <w:sz w:val="22"/>
                <w:szCs w:val="22"/>
                <w:lang w:eastAsia="en-US"/>
              </w:rPr>
              <w:t>3.</w:t>
            </w:r>
          </w:p>
        </w:tc>
        <w:tc>
          <w:tcPr>
            <w:tcW w:w="845" w:type="dxa"/>
          </w:tcPr>
          <w:p w14:paraId="33D0661D" w14:textId="77777777" w:rsidR="00126BD8" w:rsidRPr="0020138C" w:rsidRDefault="00126BD8" w:rsidP="00126BD8">
            <w:pPr>
              <w:rPr>
                <w:rFonts w:asciiTheme="minorHAnsi" w:hAnsiTheme="minorHAnsi"/>
                <w:b/>
                <w:sz w:val="22"/>
                <w:szCs w:val="22"/>
                <w:lang w:eastAsia="en-US"/>
              </w:rPr>
            </w:pPr>
          </w:p>
        </w:tc>
        <w:tc>
          <w:tcPr>
            <w:tcW w:w="6138" w:type="dxa"/>
          </w:tcPr>
          <w:p w14:paraId="5CEA3FC6" w14:textId="644DAB63" w:rsidR="00126BD8" w:rsidRPr="008549C5" w:rsidRDefault="00EC45A2" w:rsidP="00126BD8">
            <w:pPr>
              <w:rPr>
                <w:rFonts w:asciiTheme="minorHAnsi" w:hAnsiTheme="minorHAnsi"/>
                <w:b/>
                <w:sz w:val="22"/>
                <w:szCs w:val="22"/>
                <w:lang w:eastAsia="en-US"/>
              </w:rPr>
            </w:pPr>
            <w:hyperlink w:anchor="_3._New_module_1" w:history="1">
              <w:r w:rsidR="00126BD8" w:rsidRPr="008549C5">
                <w:rPr>
                  <w:rStyle w:val="Hyperlink"/>
                  <w:rFonts w:asciiTheme="minorHAnsi" w:hAnsiTheme="minorHAnsi"/>
                  <w:b/>
                  <w:color w:val="auto"/>
                  <w:sz w:val="22"/>
                  <w:szCs w:val="22"/>
                  <w:u w:val="none"/>
                  <w:lang w:eastAsia="en-US"/>
                </w:rPr>
                <w:t>New module approval</w:t>
              </w:r>
            </w:hyperlink>
          </w:p>
        </w:tc>
        <w:tc>
          <w:tcPr>
            <w:tcW w:w="646" w:type="dxa"/>
          </w:tcPr>
          <w:p w14:paraId="219D7595" w14:textId="1AB39CDC"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10</w:t>
            </w:r>
          </w:p>
        </w:tc>
      </w:tr>
      <w:tr w:rsidR="00126BD8" w:rsidRPr="0020138C" w14:paraId="7A87ADE5" w14:textId="77777777" w:rsidTr="00D54EC2">
        <w:tc>
          <w:tcPr>
            <w:tcW w:w="667" w:type="dxa"/>
          </w:tcPr>
          <w:p w14:paraId="1DC8FBDB" w14:textId="77777777" w:rsidR="00126BD8" w:rsidRPr="0020138C" w:rsidRDefault="00126BD8" w:rsidP="00126BD8">
            <w:pPr>
              <w:rPr>
                <w:rFonts w:asciiTheme="minorHAnsi" w:hAnsiTheme="minorHAnsi"/>
                <w:sz w:val="22"/>
                <w:szCs w:val="22"/>
                <w:lang w:eastAsia="en-US"/>
              </w:rPr>
            </w:pPr>
          </w:p>
        </w:tc>
        <w:tc>
          <w:tcPr>
            <w:tcW w:w="845" w:type="dxa"/>
          </w:tcPr>
          <w:p w14:paraId="4272C21F"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3.1</w:t>
            </w:r>
          </w:p>
        </w:tc>
        <w:tc>
          <w:tcPr>
            <w:tcW w:w="6138" w:type="dxa"/>
          </w:tcPr>
          <w:p w14:paraId="478DF6A1" w14:textId="30037D95" w:rsidR="00126BD8" w:rsidRPr="008549C5" w:rsidRDefault="00EC45A2" w:rsidP="00126BD8">
            <w:pPr>
              <w:rPr>
                <w:rFonts w:asciiTheme="minorHAnsi" w:hAnsiTheme="minorHAnsi"/>
                <w:sz w:val="22"/>
                <w:szCs w:val="22"/>
                <w:lang w:eastAsia="en-US"/>
              </w:rPr>
            </w:pPr>
            <w:hyperlink w:anchor="_3.1_Preamble" w:history="1">
              <w:r w:rsidR="00126BD8" w:rsidRPr="008549C5">
                <w:rPr>
                  <w:rStyle w:val="Hyperlink"/>
                  <w:rFonts w:asciiTheme="minorHAnsi" w:hAnsiTheme="minorHAnsi"/>
                  <w:color w:val="auto"/>
                  <w:sz w:val="22"/>
                  <w:szCs w:val="22"/>
                  <w:u w:val="none"/>
                  <w:lang w:eastAsia="en-US"/>
                </w:rPr>
                <w:t>Preamble</w:t>
              </w:r>
            </w:hyperlink>
          </w:p>
        </w:tc>
        <w:tc>
          <w:tcPr>
            <w:tcW w:w="646" w:type="dxa"/>
          </w:tcPr>
          <w:p w14:paraId="2C3B5063" w14:textId="7795627C"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10</w:t>
            </w:r>
          </w:p>
        </w:tc>
      </w:tr>
      <w:tr w:rsidR="00126BD8" w:rsidRPr="0020138C" w14:paraId="15C16819" w14:textId="77777777" w:rsidTr="00D54EC2">
        <w:tc>
          <w:tcPr>
            <w:tcW w:w="667" w:type="dxa"/>
          </w:tcPr>
          <w:p w14:paraId="4227126B" w14:textId="77777777" w:rsidR="00126BD8" w:rsidRPr="0020138C" w:rsidRDefault="00126BD8" w:rsidP="00126BD8">
            <w:pPr>
              <w:rPr>
                <w:rFonts w:asciiTheme="minorHAnsi" w:hAnsiTheme="minorHAnsi"/>
                <w:sz w:val="22"/>
                <w:szCs w:val="22"/>
                <w:lang w:eastAsia="en-US"/>
              </w:rPr>
            </w:pPr>
          </w:p>
        </w:tc>
        <w:tc>
          <w:tcPr>
            <w:tcW w:w="845" w:type="dxa"/>
          </w:tcPr>
          <w:p w14:paraId="6FFA5FD2"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3.2</w:t>
            </w:r>
          </w:p>
        </w:tc>
        <w:tc>
          <w:tcPr>
            <w:tcW w:w="6138" w:type="dxa"/>
          </w:tcPr>
          <w:p w14:paraId="733AEA08" w14:textId="24730461" w:rsidR="00126BD8" w:rsidRPr="008549C5" w:rsidRDefault="00EC45A2" w:rsidP="00126BD8">
            <w:pPr>
              <w:rPr>
                <w:rFonts w:asciiTheme="minorHAnsi" w:hAnsiTheme="minorHAnsi"/>
                <w:sz w:val="22"/>
                <w:szCs w:val="22"/>
                <w:lang w:eastAsia="en-US"/>
              </w:rPr>
            </w:pPr>
            <w:hyperlink w:anchor="_3.2_Development_of" w:history="1">
              <w:r w:rsidR="00126BD8" w:rsidRPr="008549C5">
                <w:rPr>
                  <w:rStyle w:val="Hyperlink"/>
                  <w:rFonts w:asciiTheme="minorHAnsi" w:hAnsiTheme="minorHAnsi"/>
                  <w:color w:val="auto"/>
                  <w:sz w:val="22"/>
                  <w:szCs w:val="22"/>
                  <w:u w:val="none"/>
                  <w:lang w:eastAsia="en-US"/>
                </w:rPr>
                <w:t>Development of the idea and rationale for a new module</w:t>
              </w:r>
            </w:hyperlink>
          </w:p>
        </w:tc>
        <w:tc>
          <w:tcPr>
            <w:tcW w:w="646" w:type="dxa"/>
          </w:tcPr>
          <w:p w14:paraId="363120BB" w14:textId="38F02296"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10</w:t>
            </w:r>
          </w:p>
        </w:tc>
      </w:tr>
      <w:tr w:rsidR="00126BD8" w:rsidRPr="0020138C" w14:paraId="5BAE10F3" w14:textId="77777777" w:rsidTr="00D54EC2">
        <w:tc>
          <w:tcPr>
            <w:tcW w:w="667" w:type="dxa"/>
          </w:tcPr>
          <w:p w14:paraId="37C34978" w14:textId="77777777" w:rsidR="00126BD8" w:rsidRPr="0020138C" w:rsidRDefault="00126BD8" w:rsidP="00126BD8">
            <w:pPr>
              <w:rPr>
                <w:rFonts w:asciiTheme="minorHAnsi" w:hAnsiTheme="minorHAnsi"/>
                <w:sz w:val="22"/>
                <w:szCs w:val="22"/>
                <w:lang w:eastAsia="en-US"/>
              </w:rPr>
            </w:pPr>
          </w:p>
        </w:tc>
        <w:tc>
          <w:tcPr>
            <w:tcW w:w="845" w:type="dxa"/>
          </w:tcPr>
          <w:p w14:paraId="59E657E2"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3.3</w:t>
            </w:r>
          </w:p>
        </w:tc>
        <w:tc>
          <w:tcPr>
            <w:tcW w:w="6138" w:type="dxa"/>
          </w:tcPr>
          <w:p w14:paraId="74C66A64" w14:textId="51EA9BB9" w:rsidR="00126BD8" w:rsidRPr="008549C5" w:rsidRDefault="00EC45A2" w:rsidP="00126BD8">
            <w:pPr>
              <w:rPr>
                <w:rFonts w:asciiTheme="minorHAnsi" w:hAnsiTheme="minorHAnsi"/>
                <w:sz w:val="22"/>
                <w:szCs w:val="22"/>
                <w:lang w:eastAsia="en-US"/>
              </w:rPr>
            </w:pPr>
            <w:hyperlink w:anchor="_3.3_Design_of" w:history="1">
              <w:r w:rsidR="00126BD8" w:rsidRPr="008549C5">
                <w:rPr>
                  <w:rStyle w:val="Hyperlink"/>
                  <w:rFonts w:asciiTheme="minorHAnsi" w:hAnsiTheme="minorHAnsi"/>
                  <w:color w:val="auto"/>
                  <w:sz w:val="22"/>
                  <w:szCs w:val="22"/>
                  <w:u w:val="none"/>
                  <w:lang w:eastAsia="en-US"/>
                </w:rPr>
                <w:t>Design of the new module and drafting of the module documentation</w:t>
              </w:r>
            </w:hyperlink>
          </w:p>
        </w:tc>
        <w:tc>
          <w:tcPr>
            <w:tcW w:w="646" w:type="dxa"/>
          </w:tcPr>
          <w:p w14:paraId="7AEC70BE" w14:textId="6F6BB1ED"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10</w:t>
            </w:r>
          </w:p>
        </w:tc>
      </w:tr>
      <w:tr w:rsidR="00126BD8" w:rsidRPr="0020138C" w14:paraId="487EE162" w14:textId="77777777" w:rsidTr="00D54EC2">
        <w:tc>
          <w:tcPr>
            <w:tcW w:w="667" w:type="dxa"/>
          </w:tcPr>
          <w:p w14:paraId="3FCD11B8" w14:textId="77777777" w:rsidR="00126BD8" w:rsidRPr="0020138C" w:rsidRDefault="00126BD8" w:rsidP="00126BD8">
            <w:pPr>
              <w:rPr>
                <w:rFonts w:asciiTheme="minorHAnsi" w:hAnsiTheme="minorHAnsi"/>
                <w:sz w:val="22"/>
                <w:szCs w:val="22"/>
                <w:lang w:eastAsia="en-US"/>
              </w:rPr>
            </w:pPr>
          </w:p>
        </w:tc>
        <w:tc>
          <w:tcPr>
            <w:tcW w:w="845" w:type="dxa"/>
          </w:tcPr>
          <w:p w14:paraId="392D98B6"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3.4</w:t>
            </w:r>
          </w:p>
        </w:tc>
        <w:tc>
          <w:tcPr>
            <w:tcW w:w="6138" w:type="dxa"/>
          </w:tcPr>
          <w:p w14:paraId="254841EE" w14:textId="5EF7DA35" w:rsidR="00126BD8" w:rsidRPr="008549C5" w:rsidRDefault="00EC45A2" w:rsidP="00126BD8">
            <w:pPr>
              <w:rPr>
                <w:rFonts w:asciiTheme="minorHAnsi" w:hAnsiTheme="minorHAnsi"/>
                <w:sz w:val="22"/>
                <w:szCs w:val="22"/>
                <w:lang w:eastAsia="en-US"/>
              </w:rPr>
            </w:pPr>
            <w:hyperlink w:anchor="_3.4_Initial_discussions" w:history="1">
              <w:r w:rsidR="00126BD8" w:rsidRPr="008549C5">
                <w:rPr>
                  <w:rStyle w:val="Hyperlink"/>
                  <w:rFonts w:asciiTheme="minorHAnsi" w:hAnsiTheme="minorHAnsi"/>
                  <w:color w:val="auto"/>
                  <w:sz w:val="22"/>
                  <w:szCs w:val="22"/>
                  <w:u w:val="none"/>
                  <w:lang w:eastAsia="en-US"/>
                </w:rPr>
                <w:t>Initial discussions with Professional Services</w:t>
              </w:r>
            </w:hyperlink>
          </w:p>
        </w:tc>
        <w:tc>
          <w:tcPr>
            <w:tcW w:w="646" w:type="dxa"/>
          </w:tcPr>
          <w:p w14:paraId="601609B2" w14:textId="1195BE59"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11</w:t>
            </w:r>
          </w:p>
        </w:tc>
      </w:tr>
      <w:tr w:rsidR="00126BD8" w:rsidRPr="0020138C" w14:paraId="3F83767F" w14:textId="77777777" w:rsidTr="00D54EC2">
        <w:tc>
          <w:tcPr>
            <w:tcW w:w="667" w:type="dxa"/>
          </w:tcPr>
          <w:p w14:paraId="46993FC6" w14:textId="77777777" w:rsidR="00126BD8" w:rsidRPr="0020138C" w:rsidRDefault="00126BD8" w:rsidP="00126BD8">
            <w:pPr>
              <w:rPr>
                <w:rFonts w:asciiTheme="minorHAnsi" w:hAnsiTheme="minorHAnsi"/>
                <w:sz w:val="22"/>
                <w:szCs w:val="22"/>
                <w:lang w:eastAsia="en-US"/>
              </w:rPr>
            </w:pPr>
          </w:p>
        </w:tc>
        <w:tc>
          <w:tcPr>
            <w:tcW w:w="845" w:type="dxa"/>
          </w:tcPr>
          <w:p w14:paraId="00305A3D"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3.5</w:t>
            </w:r>
          </w:p>
        </w:tc>
        <w:tc>
          <w:tcPr>
            <w:tcW w:w="6138" w:type="dxa"/>
          </w:tcPr>
          <w:p w14:paraId="5A027854" w14:textId="399C7611" w:rsidR="00126BD8" w:rsidRPr="008549C5" w:rsidRDefault="00EC45A2" w:rsidP="00126BD8">
            <w:pPr>
              <w:rPr>
                <w:rFonts w:asciiTheme="minorHAnsi" w:hAnsiTheme="minorHAnsi"/>
                <w:sz w:val="22"/>
                <w:szCs w:val="22"/>
                <w:lang w:eastAsia="en-US"/>
              </w:rPr>
            </w:pPr>
            <w:hyperlink w:anchor="_3.5_Scrutiny_of" w:history="1">
              <w:r w:rsidR="00126BD8" w:rsidRPr="008549C5">
                <w:rPr>
                  <w:rStyle w:val="Hyperlink"/>
                  <w:rFonts w:asciiTheme="minorHAnsi" w:hAnsiTheme="minorHAnsi"/>
                  <w:color w:val="auto"/>
                  <w:sz w:val="22"/>
                  <w:szCs w:val="22"/>
                  <w:u w:val="none"/>
                  <w:lang w:eastAsia="en-US"/>
                </w:rPr>
                <w:t>Scrutiny of the draft module documentation</w:t>
              </w:r>
            </w:hyperlink>
          </w:p>
        </w:tc>
        <w:tc>
          <w:tcPr>
            <w:tcW w:w="646" w:type="dxa"/>
          </w:tcPr>
          <w:p w14:paraId="2BCF01C4" w14:textId="38B40984"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11</w:t>
            </w:r>
          </w:p>
        </w:tc>
      </w:tr>
      <w:tr w:rsidR="00126BD8" w:rsidRPr="0020138C" w14:paraId="02ABE995" w14:textId="77777777" w:rsidTr="00D54EC2">
        <w:tc>
          <w:tcPr>
            <w:tcW w:w="667" w:type="dxa"/>
          </w:tcPr>
          <w:p w14:paraId="3165CC1E" w14:textId="77777777" w:rsidR="00126BD8" w:rsidRPr="0020138C" w:rsidRDefault="00126BD8" w:rsidP="00126BD8">
            <w:pPr>
              <w:rPr>
                <w:rFonts w:asciiTheme="minorHAnsi" w:hAnsiTheme="minorHAnsi"/>
                <w:sz w:val="22"/>
                <w:szCs w:val="22"/>
                <w:lang w:eastAsia="en-US"/>
              </w:rPr>
            </w:pPr>
          </w:p>
        </w:tc>
        <w:tc>
          <w:tcPr>
            <w:tcW w:w="845" w:type="dxa"/>
          </w:tcPr>
          <w:p w14:paraId="2954568B"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3.6</w:t>
            </w:r>
          </w:p>
        </w:tc>
        <w:tc>
          <w:tcPr>
            <w:tcW w:w="6138" w:type="dxa"/>
          </w:tcPr>
          <w:p w14:paraId="2388DC74" w14:textId="22E6C266" w:rsidR="00126BD8" w:rsidRPr="008549C5" w:rsidRDefault="00EC45A2" w:rsidP="00126BD8">
            <w:pPr>
              <w:rPr>
                <w:rFonts w:asciiTheme="minorHAnsi" w:hAnsiTheme="minorHAnsi"/>
                <w:bCs/>
                <w:iCs/>
                <w:sz w:val="22"/>
                <w:szCs w:val="22"/>
                <w:lang w:eastAsia="en-US"/>
              </w:rPr>
            </w:pPr>
            <w:hyperlink w:anchor="_3.6_Formative_feedback" w:history="1">
              <w:r w:rsidR="00126BD8" w:rsidRPr="008549C5">
                <w:rPr>
                  <w:rStyle w:val="Hyperlink"/>
                  <w:rFonts w:asciiTheme="minorHAnsi" w:hAnsiTheme="minorHAnsi"/>
                  <w:bCs/>
                  <w:iCs/>
                  <w:color w:val="auto"/>
                  <w:sz w:val="22"/>
                  <w:szCs w:val="22"/>
                  <w:u w:val="none"/>
                  <w:lang w:eastAsia="en-US"/>
                </w:rPr>
                <w:t>Formative feedback from Schools, Professional Services, DUSA and senior executives</w:t>
              </w:r>
            </w:hyperlink>
          </w:p>
        </w:tc>
        <w:tc>
          <w:tcPr>
            <w:tcW w:w="646" w:type="dxa"/>
          </w:tcPr>
          <w:p w14:paraId="547E0C55" w14:textId="6DDDD4BB"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12</w:t>
            </w:r>
          </w:p>
        </w:tc>
      </w:tr>
      <w:tr w:rsidR="00126BD8" w:rsidRPr="0020138C" w14:paraId="0B8FFA34" w14:textId="77777777" w:rsidTr="00D54EC2">
        <w:tc>
          <w:tcPr>
            <w:tcW w:w="667" w:type="dxa"/>
          </w:tcPr>
          <w:p w14:paraId="182C9E4C" w14:textId="77777777" w:rsidR="00126BD8" w:rsidRPr="0020138C" w:rsidRDefault="00126BD8" w:rsidP="00126BD8">
            <w:pPr>
              <w:rPr>
                <w:rFonts w:asciiTheme="minorHAnsi" w:hAnsiTheme="minorHAnsi"/>
                <w:sz w:val="22"/>
                <w:szCs w:val="22"/>
                <w:lang w:eastAsia="en-US"/>
              </w:rPr>
            </w:pPr>
          </w:p>
        </w:tc>
        <w:tc>
          <w:tcPr>
            <w:tcW w:w="845" w:type="dxa"/>
          </w:tcPr>
          <w:p w14:paraId="02C180B0"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3.7</w:t>
            </w:r>
          </w:p>
        </w:tc>
        <w:tc>
          <w:tcPr>
            <w:tcW w:w="6138" w:type="dxa"/>
          </w:tcPr>
          <w:p w14:paraId="54729775" w14:textId="76B276E6" w:rsidR="00126BD8" w:rsidRPr="008549C5" w:rsidRDefault="00EC45A2" w:rsidP="00126BD8">
            <w:pPr>
              <w:rPr>
                <w:rFonts w:asciiTheme="minorHAnsi" w:hAnsiTheme="minorHAnsi"/>
                <w:bCs/>
                <w:iCs/>
                <w:sz w:val="22"/>
                <w:szCs w:val="22"/>
                <w:lang w:eastAsia="en-US"/>
              </w:rPr>
            </w:pPr>
            <w:hyperlink w:anchor="_3.7_Formal_consideration" w:history="1">
              <w:r w:rsidR="00126BD8" w:rsidRPr="008549C5">
                <w:rPr>
                  <w:rStyle w:val="Hyperlink"/>
                  <w:rFonts w:asciiTheme="minorHAnsi" w:hAnsiTheme="minorHAnsi"/>
                  <w:bCs/>
                  <w:iCs/>
                  <w:color w:val="auto"/>
                  <w:sz w:val="22"/>
                  <w:szCs w:val="22"/>
                  <w:u w:val="none"/>
                  <w:lang w:eastAsia="en-US"/>
                </w:rPr>
                <w:t>Formal consideration of the module documentation by School committee(s)</w:t>
              </w:r>
            </w:hyperlink>
          </w:p>
        </w:tc>
        <w:tc>
          <w:tcPr>
            <w:tcW w:w="646" w:type="dxa"/>
          </w:tcPr>
          <w:p w14:paraId="4B295433" w14:textId="72370A95"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12</w:t>
            </w:r>
          </w:p>
        </w:tc>
      </w:tr>
      <w:tr w:rsidR="00126BD8" w:rsidRPr="0020138C" w14:paraId="79C4B139" w14:textId="77777777" w:rsidTr="00D54EC2">
        <w:tc>
          <w:tcPr>
            <w:tcW w:w="667" w:type="dxa"/>
          </w:tcPr>
          <w:p w14:paraId="2D7E4FEB" w14:textId="77777777" w:rsidR="00126BD8" w:rsidRPr="0020138C" w:rsidRDefault="00126BD8" w:rsidP="00126BD8">
            <w:pPr>
              <w:rPr>
                <w:rFonts w:asciiTheme="minorHAnsi" w:hAnsiTheme="minorHAnsi"/>
                <w:sz w:val="22"/>
                <w:szCs w:val="22"/>
                <w:lang w:eastAsia="en-US"/>
              </w:rPr>
            </w:pPr>
          </w:p>
        </w:tc>
        <w:tc>
          <w:tcPr>
            <w:tcW w:w="845" w:type="dxa"/>
          </w:tcPr>
          <w:p w14:paraId="61CCB898"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3.8</w:t>
            </w:r>
          </w:p>
        </w:tc>
        <w:tc>
          <w:tcPr>
            <w:tcW w:w="6138" w:type="dxa"/>
          </w:tcPr>
          <w:p w14:paraId="05D29157" w14:textId="21A662BB" w:rsidR="00126BD8" w:rsidRPr="008549C5" w:rsidRDefault="00EC45A2" w:rsidP="00126BD8">
            <w:pPr>
              <w:rPr>
                <w:rFonts w:asciiTheme="minorHAnsi" w:hAnsiTheme="minorHAnsi"/>
                <w:sz w:val="22"/>
                <w:szCs w:val="22"/>
                <w:lang w:eastAsia="en-US"/>
              </w:rPr>
            </w:pPr>
            <w:hyperlink w:anchor="_3.8_Formal_academic" w:history="1">
              <w:r w:rsidR="00126BD8" w:rsidRPr="008549C5">
                <w:rPr>
                  <w:rStyle w:val="Hyperlink"/>
                  <w:rFonts w:asciiTheme="minorHAnsi" w:hAnsiTheme="minorHAnsi"/>
                  <w:color w:val="auto"/>
                  <w:sz w:val="22"/>
                  <w:szCs w:val="22"/>
                  <w:u w:val="none"/>
                  <w:lang w:eastAsia="en-US"/>
                </w:rPr>
                <w:t>Formal academic approval of the proposed new module</w:t>
              </w:r>
            </w:hyperlink>
          </w:p>
        </w:tc>
        <w:tc>
          <w:tcPr>
            <w:tcW w:w="646" w:type="dxa"/>
          </w:tcPr>
          <w:p w14:paraId="7A1E5C37" w14:textId="449DF1B0"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12</w:t>
            </w:r>
          </w:p>
        </w:tc>
      </w:tr>
      <w:tr w:rsidR="00126BD8" w:rsidRPr="0020138C" w14:paraId="3FD3BF5E" w14:textId="77777777" w:rsidTr="00D54EC2">
        <w:tc>
          <w:tcPr>
            <w:tcW w:w="667" w:type="dxa"/>
          </w:tcPr>
          <w:p w14:paraId="09CFD2AB" w14:textId="77777777" w:rsidR="00126BD8" w:rsidRPr="0020138C" w:rsidRDefault="00126BD8" w:rsidP="00126BD8">
            <w:pPr>
              <w:rPr>
                <w:rFonts w:asciiTheme="minorHAnsi" w:hAnsiTheme="minorHAnsi"/>
                <w:sz w:val="22"/>
                <w:szCs w:val="22"/>
                <w:lang w:eastAsia="en-US"/>
              </w:rPr>
            </w:pPr>
          </w:p>
        </w:tc>
        <w:tc>
          <w:tcPr>
            <w:tcW w:w="845" w:type="dxa"/>
          </w:tcPr>
          <w:p w14:paraId="04D1A073"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3.9</w:t>
            </w:r>
          </w:p>
        </w:tc>
        <w:tc>
          <w:tcPr>
            <w:tcW w:w="6138" w:type="dxa"/>
          </w:tcPr>
          <w:p w14:paraId="79050356" w14:textId="45D4F6F6" w:rsidR="00126BD8" w:rsidRPr="008549C5" w:rsidRDefault="00EC45A2" w:rsidP="00126BD8">
            <w:pPr>
              <w:rPr>
                <w:rFonts w:asciiTheme="minorHAnsi" w:hAnsiTheme="minorHAnsi"/>
                <w:sz w:val="22"/>
                <w:szCs w:val="22"/>
                <w:lang w:eastAsia="en-US"/>
              </w:rPr>
            </w:pPr>
            <w:hyperlink w:anchor="_3.9_Launch_and" w:history="1">
              <w:r w:rsidR="00126BD8" w:rsidRPr="008549C5">
                <w:rPr>
                  <w:rStyle w:val="Hyperlink"/>
                  <w:rFonts w:asciiTheme="minorHAnsi" w:hAnsiTheme="minorHAnsi"/>
                  <w:color w:val="auto"/>
                  <w:sz w:val="22"/>
                  <w:szCs w:val="22"/>
                  <w:u w:val="none"/>
                  <w:lang w:eastAsia="en-US"/>
                </w:rPr>
                <w:t>Launch and review of the new module</w:t>
              </w:r>
            </w:hyperlink>
          </w:p>
        </w:tc>
        <w:tc>
          <w:tcPr>
            <w:tcW w:w="646" w:type="dxa"/>
          </w:tcPr>
          <w:p w14:paraId="505DF6D9" w14:textId="7A4DB4A4"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12</w:t>
            </w:r>
          </w:p>
        </w:tc>
      </w:tr>
      <w:tr w:rsidR="00126BD8" w:rsidRPr="0020138C" w14:paraId="6738D467" w14:textId="77777777" w:rsidTr="00D54EC2">
        <w:tc>
          <w:tcPr>
            <w:tcW w:w="1512" w:type="dxa"/>
            <w:gridSpan w:val="2"/>
          </w:tcPr>
          <w:p w14:paraId="39615F80" w14:textId="77777777" w:rsidR="00126BD8" w:rsidRPr="0020138C" w:rsidRDefault="00126BD8" w:rsidP="00126BD8">
            <w:pPr>
              <w:rPr>
                <w:rFonts w:asciiTheme="minorHAnsi" w:hAnsiTheme="minorHAnsi"/>
                <w:sz w:val="22"/>
                <w:szCs w:val="22"/>
                <w:lang w:eastAsia="en-US"/>
              </w:rPr>
            </w:pPr>
            <w:r w:rsidRPr="0020138C">
              <w:rPr>
                <w:rFonts w:asciiTheme="minorHAnsi" w:hAnsiTheme="minorHAnsi"/>
                <w:sz w:val="22"/>
                <w:szCs w:val="22"/>
                <w:lang w:eastAsia="en-US"/>
              </w:rPr>
              <w:t>Appendix 1</w:t>
            </w:r>
          </w:p>
        </w:tc>
        <w:tc>
          <w:tcPr>
            <w:tcW w:w="6138" w:type="dxa"/>
          </w:tcPr>
          <w:p w14:paraId="67998FFC" w14:textId="19500A30" w:rsidR="00126BD8" w:rsidRPr="008549C5" w:rsidRDefault="00EC45A2" w:rsidP="00126BD8">
            <w:pPr>
              <w:rPr>
                <w:rFonts w:asciiTheme="minorHAnsi" w:hAnsiTheme="minorHAnsi"/>
                <w:sz w:val="22"/>
                <w:szCs w:val="22"/>
                <w:lang w:eastAsia="en-US"/>
              </w:rPr>
            </w:pPr>
            <w:hyperlink w:anchor="_Appendix_1_1" w:history="1">
              <w:r w:rsidR="00126BD8" w:rsidRPr="008549C5">
                <w:rPr>
                  <w:rStyle w:val="Hyperlink"/>
                  <w:rFonts w:asciiTheme="minorHAnsi" w:hAnsiTheme="minorHAnsi"/>
                  <w:color w:val="auto"/>
                  <w:sz w:val="22"/>
                  <w:szCs w:val="22"/>
                  <w:u w:val="none"/>
                  <w:lang w:eastAsia="en-US"/>
                </w:rPr>
                <w:t>Considerations of good practice for taught programmes</w:t>
              </w:r>
            </w:hyperlink>
          </w:p>
        </w:tc>
        <w:tc>
          <w:tcPr>
            <w:tcW w:w="646" w:type="dxa"/>
          </w:tcPr>
          <w:p w14:paraId="09359243" w14:textId="1217F144" w:rsidR="00126BD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13</w:t>
            </w:r>
          </w:p>
        </w:tc>
      </w:tr>
      <w:tr w:rsidR="0020138C" w:rsidRPr="0020138C" w14:paraId="71F090E2" w14:textId="77777777" w:rsidTr="00D54EC2">
        <w:tc>
          <w:tcPr>
            <w:tcW w:w="1512" w:type="dxa"/>
            <w:gridSpan w:val="2"/>
          </w:tcPr>
          <w:p w14:paraId="22A88E52" w14:textId="34F3331A" w:rsidR="0020138C" w:rsidRPr="0020138C" w:rsidRDefault="0020138C" w:rsidP="00126BD8">
            <w:pPr>
              <w:rPr>
                <w:rFonts w:asciiTheme="minorHAnsi" w:hAnsiTheme="minorHAnsi"/>
                <w:sz w:val="22"/>
                <w:szCs w:val="22"/>
                <w:lang w:eastAsia="en-US"/>
              </w:rPr>
            </w:pPr>
            <w:r w:rsidRPr="0020138C">
              <w:rPr>
                <w:rFonts w:asciiTheme="minorHAnsi" w:hAnsiTheme="minorHAnsi"/>
                <w:sz w:val="22"/>
                <w:szCs w:val="22"/>
                <w:lang w:eastAsia="en-US"/>
              </w:rPr>
              <w:t>Appendix 2</w:t>
            </w:r>
          </w:p>
        </w:tc>
        <w:tc>
          <w:tcPr>
            <w:tcW w:w="6138" w:type="dxa"/>
          </w:tcPr>
          <w:p w14:paraId="3768AD91" w14:textId="77C2E208" w:rsidR="0020138C" w:rsidRPr="008549C5" w:rsidRDefault="00EC45A2" w:rsidP="004C1C68">
            <w:pPr>
              <w:rPr>
                <w:rFonts w:asciiTheme="minorHAnsi" w:hAnsiTheme="minorHAnsi"/>
                <w:sz w:val="22"/>
                <w:szCs w:val="22"/>
                <w:lang w:eastAsia="en-US"/>
              </w:rPr>
            </w:pPr>
            <w:hyperlink w:anchor="_Appendix_2" w:history="1">
              <w:r w:rsidR="0020138C" w:rsidRPr="008549C5">
                <w:rPr>
                  <w:rStyle w:val="Hyperlink"/>
                  <w:rFonts w:asciiTheme="minorHAnsi" w:hAnsiTheme="minorHAnsi"/>
                  <w:color w:val="auto"/>
                  <w:sz w:val="22"/>
                  <w:szCs w:val="22"/>
                  <w:u w:val="none"/>
                  <w:lang w:eastAsia="en-US"/>
                </w:rPr>
                <w:t xml:space="preserve">Process diagram for the approval of new </w:t>
              </w:r>
              <w:r w:rsidR="004C1C68" w:rsidRPr="008549C5">
                <w:rPr>
                  <w:rStyle w:val="Hyperlink"/>
                  <w:rFonts w:asciiTheme="minorHAnsi" w:hAnsiTheme="minorHAnsi"/>
                  <w:color w:val="auto"/>
                  <w:sz w:val="22"/>
                  <w:szCs w:val="22"/>
                  <w:u w:val="none"/>
                  <w:lang w:eastAsia="en-US"/>
                </w:rPr>
                <w:t>programmes</w:t>
              </w:r>
            </w:hyperlink>
          </w:p>
        </w:tc>
        <w:tc>
          <w:tcPr>
            <w:tcW w:w="646" w:type="dxa"/>
          </w:tcPr>
          <w:p w14:paraId="45D75BFB" w14:textId="3B8F7094" w:rsidR="0020138C"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17</w:t>
            </w:r>
          </w:p>
        </w:tc>
      </w:tr>
      <w:tr w:rsidR="004C1C68" w:rsidRPr="004C1C68" w14:paraId="63504140" w14:textId="77777777" w:rsidTr="00D54EC2">
        <w:tc>
          <w:tcPr>
            <w:tcW w:w="1512" w:type="dxa"/>
            <w:gridSpan w:val="2"/>
          </w:tcPr>
          <w:p w14:paraId="6244EA74" w14:textId="18E41C2E" w:rsidR="004C1C68" w:rsidRPr="004C1C68" w:rsidRDefault="004C1C68" w:rsidP="00126BD8">
            <w:pPr>
              <w:rPr>
                <w:rFonts w:asciiTheme="minorHAnsi" w:hAnsiTheme="minorHAnsi"/>
                <w:sz w:val="22"/>
                <w:szCs w:val="22"/>
                <w:lang w:eastAsia="en-US"/>
              </w:rPr>
            </w:pPr>
            <w:r w:rsidRPr="004C1C68">
              <w:rPr>
                <w:rFonts w:asciiTheme="minorHAnsi" w:hAnsiTheme="minorHAnsi"/>
                <w:sz w:val="22"/>
                <w:szCs w:val="22"/>
                <w:lang w:eastAsia="en-US"/>
              </w:rPr>
              <w:t>Appendix 3</w:t>
            </w:r>
          </w:p>
        </w:tc>
        <w:tc>
          <w:tcPr>
            <w:tcW w:w="6138" w:type="dxa"/>
          </w:tcPr>
          <w:p w14:paraId="08E34ACC" w14:textId="739FD0E0" w:rsidR="004C1C68" w:rsidRPr="008549C5" w:rsidRDefault="00EC45A2" w:rsidP="004C1C68">
            <w:pPr>
              <w:rPr>
                <w:rFonts w:asciiTheme="minorHAnsi" w:hAnsiTheme="minorHAnsi"/>
                <w:sz w:val="22"/>
                <w:szCs w:val="22"/>
                <w:lang w:eastAsia="en-US"/>
              </w:rPr>
            </w:pPr>
            <w:hyperlink w:anchor="_Appendix_3" w:history="1">
              <w:r w:rsidR="004C1C68" w:rsidRPr="008549C5">
                <w:rPr>
                  <w:rStyle w:val="Hyperlink"/>
                  <w:rFonts w:asciiTheme="minorHAnsi" w:hAnsiTheme="minorHAnsi"/>
                  <w:color w:val="auto"/>
                  <w:sz w:val="22"/>
                  <w:szCs w:val="22"/>
                  <w:u w:val="none"/>
                  <w:lang w:eastAsia="en-US"/>
                </w:rPr>
                <w:t>Process diagram for the approval of new modules</w:t>
              </w:r>
            </w:hyperlink>
          </w:p>
        </w:tc>
        <w:tc>
          <w:tcPr>
            <w:tcW w:w="646" w:type="dxa"/>
          </w:tcPr>
          <w:p w14:paraId="12B921BE" w14:textId="08DEC46C" w:rsidR="004C1C68" w:rsidRPr="008549C5" w:rsidRDefault="00F63A72" w:rsidP="00126BD8">
            <w:pPr>
              <w:rPr>
                <w:rFonts w:asciiTheme="minorHAnsi" w:hAnsiTheme="minorHAnsi"/>
                <w:sz w:val="22"/>
                <w:szCs w:val="22"/>
                <w:lang w:eastAsia="en-US"/>
              </w:rPr>
            </w:pPr>
            <w:r w:rsidRPr="008549C5">
              <w:rPr>
                <w:rFonts w:asciiTheme="minorHAnsi" w:hAnsiTheme="minorHAnsi"/>
                <w:sz w:val="22"/>
                <w:szCs w:val="22"/>
                <w:lang w:eastAsia="en-US"/>
              </w:rPr>
              <w:t>18</w:t>
            </w:r>
          </w:p>
        </w:tc>
      </w:tr>
    </w:tbl>
    <w:p w14:paraId="31204390" w14:textId="77777777" w:rsidR="004C1C68" w:rsidRPr="00373A1D" w:rsidRDefault="004C1C68">
      <w:pPr>
        <w:spacing w:after="0"/>
        <w:jc w:val="left"/>
        <w:rPr>
          <w:rFonts w:asciiTheme="majorHAnsi" w:hAnsiTheme="majorHAnsi"/>
          <w:b/>
          <w:bCs/>
          <w:iCs/>
          <w:szCs w:val="20"/>
          <w:lang w:eastAsia="en-US"/>
        </w:rPr>
      </w:pPr>
      <w:bookmarkStart w:id="0" w:name="_1._Overview"/>
      <w:bookmarkEnd w:id="0"/>
      <w:r>
        <w:br w:type="page"/>
      </w:r>
    </w:p>
    <w:p w14:paraId="55133A9A" w14:textId="0775112B" w:rsidR="00126BD8" w:rsidRPr="00126BD8" w:rsidRDefault="00126BD8" w:rsidP="00D54EC2">
      <w:pPr>
        <w:pStyle w:val="Heading3"/>
      </w:pPr>
      <w:bookmarkStart w:id="1" w:name="_1._Overview_1"/>
      <w:bookmarkEnd w:id="1"/>
      <w:r w:rsidRPr="00126BD8">
        <w:lastRenderedPageBreak/>
        <w:t>1. Overview</w:t>
      </w:r>
    </w:p>
    <w:p w14:paraId="5DBC0CBF" w14:textId="77777777" w:rsidR="00126BD8" w:rsidRPr="00126BD8" w:rsidRDefault="00126BD8" w:rsidP="00D54EC2">
      <w:pPr>
        <w:pStyle w:val="Heading4"/>
      </w:pPr>
      <w:bookmarkStart w:id="2" w:name="_1.1_Introduction"/>
      <w:bookmarkEnd w:id="2"/>
      <w:r w:rsidRPr="00126BD8">
        <w:t>1.1 Introduction</w:t>
      </w:r>
    </w:p>
    <w:p w14:paraId="1241DD52" w14:textId="77777777" w:rsidR="00126BD8" w:rsidRPr="00126BD8" w:rsidRDefault="00126BD8" w:rsidP="00126BD8">
      <w:pPr>
        <w:rPr>
          <w:lang w:eastAsia="en-US"/>
        </w:rPr>
      </w:pPr>
      <w:r w:rsidRPr="0067706D">
        <w:rPr>
          <w:b/>
          <w:sz w:val="20"/>
          <w:szCs w:val="20"/>
          <w:lang w:eastAsia="en-US"/>
        </w:rPr>
        <w:t>1.1.1</w:t>
      </w:r>
      <w:r w:rsidRPr="00126BD8">
        <w:rPr>
          <w:lang w:eastAsia="en-US"/>
        </w:rPr>
        <w:t xml:space="preserve"> This Policy and Guidance on the Approval of New Taught Provision has been developed to ensure that proposals for new taught provision:</w:t>
      </w:r>
    </w:p>
    <w:p w14:paraId="03D455C7" w14:textId="77777777" w:rsidR="00126BD8" w:rsidRPr="00126BD8" w:rsidRDefault="00126BD8" w:rsidP="0067706D">
      <w:pPr>
        <w:numPr>
          <w:ilvl w:val="0"/>
          <w:numId w:val="2"/>
        </w:numPr>
        <w:ind w:left="714" w:hanging="357"/>
        <w:contextualSpacing/>
        <w:rPr>
          <w:lang w:eastAsia="en-US"/>
        </w:rPr>
      </w:pPr>
      <w:r w:rsidRPr="00126BD8">
        <w:rPr>
          <w:lang w:eastAsia="en-US"/>
        </w:rPr>
        <w:t>are integrated with planning and strategies at University and School levels;</w:t>
      </w:r>
    </w:p>
    <w:p w14:paraId="03EB759C" w14:textId="77777777" w:rsidR="00126BD8" w:rsidRPr="00126BD8" w:rsidRDefault="00126BD8" w:rsidP="0067706D">
      <w:pPr>
        <w:numPr>
          <w:ilvl w:val="0"/>
          <w:numId w:val="2"/>
        </w:numPr>
        <w:ind w:left="714" w:hanging="357"/>
        <w:contextualSpacing/>
        <w:rPr>
          <w:lang w:eastAsia="en-US"/>
        </w:rPr>
      </w:pPr>
      <w:r w:rsidRPr="00126BD8">
        <w:rPr>
          <w:lang w:eastAsia="en-US"/>
        </w:rPr>
        <w:t>have shown there is suitable market demand;</w:t>
      </w:r>
    </w:p>
    <w:p w14:paraId="7B0B8BA1" w14:textId="77777777" w:rsidR="00126BD8" w:rsidRPr="00126BD8" w:rsidRDefault="00126BD8" w:rsidP="0067706D">
      <w:pPr>
        <w:numPr>
          <w:ilvl w:val="0"/>
          <w:numId w:val="2"/>
        </w:numPr>
        <w:ind w:left="714" w:hanging="357"/>
        <w:contextualSpacing/>
        <w:rPr>
          <w:lang w:eastAsia="en-US"/>
        </w:rPr>
      </w:pPr>
      <w:r w:rsidRPr="00126BD8">
        <w:rPr>
          <w:lang w:eastAsia="en-US"/>
        </w:rPr>
        <w:t>have given appropriate consideration to the prospects for graduates;</w:t>
      </w:r>
    </w:p>
    <w:p w14:paraId="04F894E8" w14:textId="77777777" w:rsidR="00126BD8" w:rsidRPr="00126BD8" w:rsidRDefault="00126BD8" w:rsidP="0067706D">
      <w:pPr>
        <w:numPr>
          <w:ilvl w:val="0"/>
          <w:numId w:val="2"/>
        </w:numPr>
        <w:ind w:left="714" w:hanging="357"/>
        <w:contextualSpacing/>
        <w:rPr>
          <w:lang w:eastAsia="en-US"/>
        </w:rPr>
      </w:pPr>
      <w:r w:rsidRPr="00126BD8">
        <w:rPr>
          <w:lang w:eastAsia="en-US"/>
        </w:rPr>
        <w:t>have given appropriate consideration to accessibility, equality and diversity;</w:t>
      </w:r>
    </w:p>
    <w:p w14:paraId="4F752DAB" w14:textId="77777777" w:rsidR="00126BD8" w:rsidRPr="00126BD8" w:rsidRDefault="00126BD8" w:rsidP="0067706D">
      <w:pPr>
        <w:numPr>
          <w:ilvl w:val="0"/>
          <w:numId w:val="2"/>
        </w:numPr>
        <w:ind w:left="714" w:hanging="357"/>
        <w:contextualSpacing/>
        <w:rPr>
          <w:lang w:eastAsia="en-US"/>
        </w:rPr>
      </w:pPr>
      <w:r w:rsidRPr="00126BD8">
        <w:rPr>
          <w:lang w:eastAsia="en-US"/>
        </w:rPr>
        <w:t>satisfy expectations about quality and academic standards which are aligned with the UK Quality Code and University polices;</w:t>
      </w:r>
    </w:p>
    <w:p w14:paraId="5D65EB76" w14:textId="77777777" w:rsidR="00126BD8" w:rsidRPr="00126BD8" w:rsidRDefault="00126BD8" w:rsidP="0067706D">
      <w:pPr>
        <w:numPr>
          <w:ilvl w:val="0"/>
          <w:numId w:val="2"/>
        </w:numPr>
        <w:ind w:left="714" w:hanging="357"/>
        <w:contextualSpacing/>
        <w:rPr>
          <w:lang w:eastAsia="en-US"/>
        </w:rPr>
      </w:pPr>
      <w:r w:rsidRPr="00126BD8">
        <w:rPr>
          <w:lang w:eastAsia="en-US"/>
        </w:rPr>
        <w:t>benefit from appropriate consultation across the University and externally; and</w:t>
      </w:r>
    </w:p>
    <w:p w14:paraId="2A06EEC0" w14:textId="77777777" w:rsidR="00126BD8" w:rsidRPr="00126BD8" w:rsidRDefault="00126BD8" w:rsidP="00126BD8">
      <w:pPr>
        <w:numPr>
          <w:ilvl w:val="0"/>
          <w:numId w:val="2"/>
        </w:numPr>
        <w:rPr>
          <w:lang w:eastAsia="en-US"/>
        </w:rPr>
      </w:pPr>
      <w:r w:rsidRPr="00126BD8">
        <w:rPr>
          <w:lang w:eastAsia="en-US"/>
        </w:rPr>
        <w:t xml:space="preserve">provide the basis for a source of clear and accurate information to stakeholders including prospective and current students, employers, the Registry, </w:t>
      </w:r>
      <w:r w:rsidR="0067706D">
        <w:rPr>
          <w:lang w:eastAsia="en-US"/>
        </w:rPr>
        <w:t>External</w:t>
      </w:r>
      <w:r w:rsidR="00A44241">
        <w:rPr>
          <w:lang w:eastAsia="en-US"/>
        </w:rPr>
        <w:t xml:space="preserve"> Relations</w:t>
      </w:r>
      <w:r w:rsidRPr="00126BD8">
        <w:rPr>
          <w:lang w:eastAsia="en-US"/>
        </w:rPr>
        <w:t xml:space="preserve"> and the University Schools.</w:t>
      </w:r>
    </w:p>
    <w:p w14:paraId="67021044" w14:textId="77777777" w:rsidR="00126BD8" w:rsidRPr="00126BD8" w:rsidRDefault="00126BD8" w:rsidP="00126BD8">
      <w:pPr>
        <w:rPr>
          <w:lang w:eastAsia="en-US"/>
        </w:rPr>
      </w:pPr>
      <w:r w:rsidRPr="0067706D">
        <w:rPr>
          <w:b/>
          <w:sz w:val="20"/>
          <w:szCs w:val="20"/>
          <w:lang w:eastAsia="en-US"/>
        </w:rPr>
        <w:t>1.1.2</w:t>
      </w:r>
      <w:r w:rsidR="0067706D">
        <w:rPr>
          <w:lang w:eastAsia="en-US"/>
        </w:rPr>
        <w:t xml:space="preserve"> The</w:t>
      </w:r>
      <w:r w:rsidRPr="00126BD8">
        <w:rPr>
          <w:lang w:eastAsia="en-US"/>
        </w:rPr>
        <w:t xml:space="preserve"> Policy and Guidance applies to all proposals for new taught </w:t>
      </w:r>
      <w:r w:rsidR="001145BB">
        <w:rPr>
          <w:lang w:eastAsia="en-US"/>
        </w:rPr>
        <w:t xml:space="preserve">undergraduate and postgraduate </w:t>
      </w:r>
      <w:r w:rsidRPr="00126BD8">
        <w:rPr>
          <w:lang w:eastAsia="en-US"/>
        </w:rPr>
        <w:t>programmes and/or modules</w:t>
      </w:r>
      <w:r w:rsidR="001145BB">
        <w:rPr>
          <w:lang w:eastAsia="en-US"/>
        </w:rPr>
        <w:t>.</w:t>
      </w:r>
      <w:r w:rsidR="0067706D">
        <w:rPr>
          <w:lang w:eastAsia="en-US"/>
        </w:rPr>
        <w:t xml:space="preserve"> </w:t>
      </w:r>
      <w:r w:rsidRPr="00126BD8">
        <w:rPr>
          <w:lang w:eastAsia="en-US"/>
        </w:rPr>
        <w:t>A separate, related approach applies to approval of changes to existing programmes or modules, as well as suspensions and withdrawals.</w:t>
      </w:r>
    </w:p>
    <w:p w14:paraId="5536FCB5" w14:textId="77777777" w:rsidR="00126BD8" w:rsidRPr="00126BD8" w:rsidRDefault="00126BD8" w:rsidP="0067706D">
      <w:pPr>
        <w:pStyle w:val="Heading4"/>
      </w:pPr>
      <w:bookmarkStart w:id="3" w:name="_1.2_Approval_of"/>
      <w:bookmarkEnd w:id="3"/>
      <w:r w:rsidRPr="00126BD8">
        <w:t>1.2</w:t>
      </w:r>
      <w:r w:rsidRPr="00126BD8">
        <w:rPr>
          <w:i/>
        </w:rPr>
        <w:t xml:space="preserve"> </w:t>
      </w:r>
      <w:r w:rsidRPr="00126BD8">
        <w:t>Approval of new programmes</w:t>
      </w:r>
    </w:p>
    <w:p w14:paraId="39899D32" w14:textId="10BE669F" w:rsidR="00126BD8" w:rsidRPr="00126BD8" w:rsidRDefault="00126BD8" w:rsidP="00126BD8">
      <w:pPr>
        <w:rPr>
          <w:lang w:eastAsia="en-US"/>
        </w:rPr>
      </w:pPr>
      <w:r w:rsidRPr="001422DB">
        <w:rPr>
          <w:b/>
          <w:sz w:val="20"/>
          <w:szCs w:val="20"/>
          <w:lang w:eastAsia="en-US"/>
        </w:rPr>
        <w:t>1.2.1</w:t>
      </w:r>
      <w:r w:rsidRPr="001422DB">
        <w:rPr>
          <w:lang w:eastAsia="en-US"/>
        </w:rPr>
        <w:t xml:space="preserve"> The academic approval of a new programme must be preceded by an analysis and approval of a rationale and business case by the</w:t>
      </w:r>
      <w:r w:rsidR="0067706D" w:rsidRPr="001422DB">
        <w:rPr>
          <w:lang w:eastAsia="en-US"/>
        </w:rPr>
        <w:t xml:space="preserve"> School(s) and the University. </w:t>
      </w:r>
      <w:r w:rsidRPr="001422DB">
        <w:rPr>
          <w:lang w:eastAsia="en-US"/>
        </w:rPr>
        <w:t>The formal academic approval of a new programme can only proceed once the business case has been agreed</w:t>
      </w:r>
      <w:r w:rsidR="0067706D" w:rsidRPr="001422DB">
        <w:rPr>
          <w:lang w:eastAsia="en-US"/>
        </w:rPr>
        <w:t xml:space="preserve"> </w:t>
      </w:r>
      <w:r w:rsidR="002752E4" w:rsidRPr="001422DB">
        <w:rPr>
          <w:lang w:eastAsia="en-US"/>
        </w:rPr>
        <w:t xml:space="preserve">by the University’s Educational Business Development </w:t>
      </w:r>
      <w:r w:rsidR="008E185B">
        <w:rPr>
          <w:lang w:eastAsia="en-US"/>
        </w:rPr>
        <w:t xml:space="preserve">Oversight </w:t>
      </w:r>
      <w:r w:rsidR="002752E4" w:rsidRPr="001422DB">
        <w:rPr>
          <w:lang w:eastAsia="en-US"/>
        </w:rPr>
        <w:t>Group</w:t>
      </w:r>
      <w:r w:rsidR="00C4256B" w:rsidRPr="001422DB">
        <w:rPr>
          <w:lang w:eastAsia="en-US"/>
        </w:rPr>
        <w:t xml:space="preserve"> (EBDOG) or its </w:t>
      </w:r>
      <w:r w:rsidR="00037AB1" w:rsidRPr="001422DB">
        <w:rPr>
          <w:lang w:eastAsia="en-US"/>
        </w:rPr>
        <w:t>designated subgroup</w:t>
      </w:r>
      <w:r w:rsidR="00AB7F02" w:rsidRPr="001422DB">
        <w:rPr>
          <w:lang w:eastAsia="en-US"/>
        </w:rPr>
        <w:t xml:space="preserve"> for business case approval</w:t>
      </w:r>
      <w:r w:rsidR="00037AB1" w:rsidRPr="001422DB">
        <w:rPr>
          <w:lang w:eastAsia="en-US"/>
        </w:rPr>
        <w:t>.</w:t>
      </w:r>
    </w:p>
    <w:p w14:paraId="6F606126" w14:textId="77777777" w:rsidR="00126BD8" w:rsidRPr="00126BD8" w:rsidRDefault="00126BD8" w:rsidP="00126BD8">
      <w:pPr>
        <w:rPr>
          <w:lang w:eastAsia="en-US"/>
        </w:rPr>
      </w:pPr>
      <w:r w:rsidRPr="002752E4">
        <w:rPr>
          <w:b/>
          <w:sz w:val="20"/>
          <w:szCs w:val="20"/>
          <w:lang w:eastAsia="en-US"/>
        </w:rPr>
        <w:t>1.2.2</w:t>
      </w:r>
      <w:r w:rsidRPr="00126BD8">
        <w:rPr>
          <w:lang w:eastAsia="en-US"/>
        </w:rPr>
        <w:t xml:space="preserve"> The first stage of the academic approval process involves the development of Programme Specification and Supporting Information (PSSI) documentation.</w:t>
      </w:r>
      <w:r w:rsidRPr="00126BD8">
        <w:rPr>
          <w:vertAlign w:val="superscript"/>
          <w:lang w:eastAsia="en-US"/>
        </w:rPr>
        <w:footnoteReference w:id="2"/>
      </w:r>
      <w:r w:rsidR="002752E4">
        <w:rPr>
          <w:lang w:eastAsia="en-US"/>
        </w:rPr>
        <w:t xml:space="preserve"> </w:t>
      </w:r>
      <w:r w:rsidRPr="00126BD8">
        <w:rPr>
          <w:lang w:eastAsia="en-US"/>
        </w:rPr>
        <w:t>The information requested within the PSSI template is designed to provide both public-facing information and information required for internal management of the programme.</w:t>
      </w:r>
    </w:p>
    <w:p w14:paraId="5F7BF4C6" w14:textId="77777777" w:rsidR="00126BD8" w:rsidRPr="00126BD8" w:rsidRDefault="00126BD8" w:rsidP="00126BD8">
      <w:pPr>
        <w:rPr>
          <w:lang w:eastAsia="en-US"/>
        </w:rPr>
      </w:pPr>
      <w:r w:rsidRPr="00037AB1">
        <w:rPr>
          <w:b/>
          <w:sz w:val="20"/>
          <w:szCs w:val="20"/>
          <w:lang w:eastAsia="en-US"/>
        </w:rPr>
        <w:t>1.2.3</w:t>
      </w:r>
      <w:r w:rsidRPr="00126BD8">
        <w:rPr>
          <w:lang w:eastAsia="en-US"/>
        </w:rPr>
        <w:t xml:space="preserve"> The academic approval process requires consideration of the PSSI documentation, including the supporting module information, through a scrutiny </w:t>
      </w:r>
      <w:r w:rsidR="00F33BA9">
        <w:rPr>
          <w:lang w:eastAsia="en-US"/>
        </w:rPr>
        <w:t xml:space="preserve">event organised by the School. </w:t>
      </w:r>
      <w:r w:rsidRPr="00126BD8">
        <w:rPr>
          <w:lang w:eastAsia="en-US"/>
        </w:rPr>
        <w:t xml:space="preserve">The event is convened by </w:t>
      </w:r>
      <w:r w:rsidR="00AB7F02">
        <w:rPr>
          <w:lang w:eastAsia="en-US"/>
        </w:rPr>
        <w:t>an</w:t>
      </w:r>
      <w:r w:rsidRPr="00126BD8">
        <w:rPr>
          <w:lang w:eastAsia="en-US"/>
        </w:rPr>
        <w:t xml:space="preserve"> Associate Dean (Qu</w:t>
      </w:r>
      <w:r w:rsidR="00F33BA9">
        <w:rPr>
          <w:lang w:eastAsia="en-US"/>
        </w:rPr>
        <w:t xml:space="preserve">ality and Academic Standards). </w:t>
      </w:r>
      <w:r w:rsidRPr="00126BD8">
        <w:rPr>
          <w:lang w:eastAsia="en-US"/>
        </w:rPr>
        <w:t>The scrutiny process involves externality in the shape of both institutional and external inputs.</w:t>
      </w:r>
    </w:p>
    <w:p w14:paraId="316A4771" w14:textId="2157BC39" w:rsidR="00126BD8" w:rsidRPr="00126BD8" w:rsidRDefault="00126BD8" w:rsidP="00126BD8">
      <w:pPr>
        <w:rPr>
          <w:lang w:eastAsia="en-US"/>
        </w:rPr>
      </w:pPr>
      <w:r w:rsidRPr="00F33BA9">
        <w:rPr>
          <w:b/>
          <w:sz w:val="20"/>
          <w:szCs w:val="20"/>
          <w:lang w:eastAsia="en-US"/>
        </w:rPr>
        <w:t>1.2.4</w:t>
      </w:r>
      <w:r w:rsidRPr="00126BD8">
        <w:rPr>
          <w:lang w:eastAsia="en-US"/>
        </w:rPr>
        <w:t xml:space="preserve"> As part of the formative stage of approval the draft programme documentation is also shared with key stakeholders (</w:t>
      </w:r>
      <w:r w:rsidR="00A66E4F">
        <w:rPr>
          <w:lang w:eastAsia="en-US"/>
        </w:rPr>
        <w:t>including</w:t>
      </w:r>
      <w:r w:rsidRPr="00126BD8">
        <w:rPr>
          <w:lang w:eastAsia="en-US"/>
        </w:rPr>
        <w:t xml:space="preserve"> </w:t>
      </w:r>
      <w:r w:rsidR="00AB7F02">
        <w:rPr>
          <w:lang w:eastAsia="en-US"/>
        </w:rPr>
        <w:t xml:space="preserve">relevant </w:t>
      </w:r>
      <w:r w:rsidRPr="00126BD8">
        <w:rPr>
          <w:lang w:eastAsia="en-US"/>
        </w:rPr>
        <w:t xml:space="preserve">Associate Deans, </w:t>
      </w:r>
      <w:r w:rsidR="00496A79">
        <w:rPr>
          <w:lang w:eastAsia="en-US"/>
        </w:rPr>
        <w:t>the Academic Skills Centre</w:t>
      </w:r>
      <w:r w:rsidRPr="00126BD8">
        <w:rPr>
          <w:lang w:eastAsia="en-US"/>
        </w:rPr>
        <w:t xml:space="preserve">, the Library and Learning Centre, </w:t>
      </w:r>
      <w:r w:rsidR="00F33BA9">
        <w:rPr>
          <w:lang w:eastAsia="en-US"/>
        </w:rPr>
        <w:t>External Relations</w:t>
      </w:r>
      <w:r w:rsidRPr="00126BD8">
        <w:rPr>
          <w:lang w:eastAsia="en-US"/>
        </w:rPr>
        <w:t>, Registry, Academic and Corporate Governance, Vice-Principals) through the University’s e-consultation process organised by the Quality and Ac</w:t>
      </w:r>
      <w:r w:rsidR="00F33BA9">
        <w:rPr>
          <w:lang w:eastAsia="en-US"/>
        </w:rPr>
        <w:t xml:space="preserve">ademic Standards (QAS) office. </w:t>
      </w:r>
      <w:r w:rsidRPr="00126BD8">
        <w:rPr>
          <w:lang w:eastAsia="en-US"/>
        </w:rPr>
        <w:t>The e-consultation is normally carried out after the scrutiny event and is always carried out before formal consideration of the documentation by the School(s).</w:t>
      </w:r>
    </w:p>
    <w:p w14:paraId="55438906" w14:textId="77777777" w:rsidR="00126BD8" w:rsidRPr="00126BD8" w:rsidRDefault="00126BD8" w:rsidP="00126BD8">
      <w:pPr>
        <w:rPr>
          <w:lang w:eastAsia="en-US"/>
        </w:rPr>
      </w:pPr>
      <w:r w:rsidRPr="00F33BA9">
        <w:rPr>
          <w:b/>
          <w:sz w:val="20"/>
          <w:szCs w:val="20"/>
          <w:lang w:eastAsia="en-US"/>
        </w:rPr>
        <w:t>1.2.5</w:t>
      </w:r>
      <w:r w:rsidRPr="00126BD8">
        <w:rPr>
          <w:lang w:eastAsia="en-US"/>
        </w:rPr>
        <w:t xml:space="preserve"> The minute and recommen</w:t>
      </w:r>
      <w:r w:rsidR="00B56778">
        <w:rPr>
          <w:lang w:eastAsia="en-US"/>
        </w:rPr>
        <w:t>dations from the scrutiny event,</w:t>
      </w:r>
      <w:r w:rsidRPr="00126BD8">
        <w:rPr>
          <w:lang w:eastAsia="en-US"/>
        </w:rPr>
        <w:t xml:space="preserve"> any c</w:t>
      </w:r>
      <w:r w:rsidR="00B56778">
        <w:rPr>
          <w:lang w:eastAsia="en-US"/>
        </w:rPr>
        <w:t>omments from the e-consultation,</w:t>
      </w:r>
      <w:r w:rsidRPr="00126BD8">
        <w:rPr>
          <w:lang w:eastAsia="en-US"/>
        </w:rPr>
        <w:t xml:space="preserve"> a note of how any recommendati</w:t>
      </w:r>
      <w:r w:rsidR="00B56778">
        <w:rPr>
          <w:lang w:eastAsia="en-US"/>
        </w:rPr>
        <w:t>ons and comments were addressed</w:t>
      </w:r>
      <w:r w:rsidRPr="00126BD8">
        <w:rPr>
          <w:lang w:eastAsia="en-US"/>
        </w:rPr>
        <w:t xml:space="preserve"> and the PSSI draft are submitted to the relevant School committee(s)</w:t>
      </w:r>
      <w:r w:rsidR="00AC04FA">
        <w:rPr>
          <w:rStyle w:val="FootnoteReference"/>
          <w:lang w:eastAsia="en-US"/>
        </w:rPr>
        <w:footnoteReference w:id="3"/>
      </w:r>
      <w:r w:rsidRPr="00126BD8">
        <w:rPr>
          <w:lang w:eastAsia="en-US"/>
        </w:rPr>
        <w:t xml:space="preserve"> fo</w:t>
      </w:r>
      <w:r w:rsidR="00F33BA9">
        <w:rPr>
          <w:lang w:eastAsia="en-US"/>
        </w:rPr>
        <w:t xml:space="preserve">r recommendation for approval. </w:t>
      </w:r>
      <w:r w:rsidR="00D973CA">
        <w:rPr>
          <w:lang w:eastAsia="en-US"/>
        </w:rPr>
        <w:t xml:space="preserve">The </w:t>
      </w:r>
      <w:r w:rsidR="00B56778">
        <w:rPr>
          <w:lang w:eastAsia="en-US"/>
        </w:rPr>
        <w:t xml:space="preserve">previously approved </w:t>
      </w:r>
      <w:r w:rsidR="00D973CA">
        <w:rPr>
          <w:lang w:eastAsia="en-US"/>
        </w:rPr>
        <w:t xml:space="preserve">rationale and business case </w:t>
      </w:r>
      <w:r w:rsidR="00B56778">
        <w:rPr>
          <w:lang w:eastAsia="en-US"/>
        </w:rPr>
        <w:t>is</w:t>
      </w:r>
      <w:r w:rsidR="00D973CA">
        <w:rPr>
          <w:lang w:eastAsia="en-US"/>
        </w:rPr>
        <w:t xml:space="preserve"> also included with the documentation to provide context. </w:t>
      </w:r>
      <w:r w:rsidRPr="00126BD8">
        <w:rPr>
          <w:lang w:eastAsia="en-US"/>
        </w:rPr>
        <w:t xml:space="preserve">The </w:t>
      </w:r>
      <w:r w:rsidRPr="00126BD8">
        <w:rPr>
          <w:lang w:eastAsia="en-US"/>
        </w:rPr>
        <w:lastRenderedPageBreak/>
        <w:t>final</w:t>
      </w:r>
      <w:r w:rsidR="00D973CA">
        <w:rPr>
          <w:lang w:eastAsia="en-US"/>
        </w:rPr>
        <w:t xml:space="preserve"> programme</w:t>
      </w:r>
      <w:r w:rsidRPr="00126BD8">
        <w:rPr>
          <w:lang w:eastAsia="en-US"/>
        </w:rPr>
        <w:t xml:space="preserve"> documentation is considered by the </w:t>
      </w:r>
      <w:r w:rsidR="00361A4F">
        <w:rPr>
          <w:lang w:eastAsia="en-US"/>
        </w:rPr>
        <w:t>University Quality and Academic Standards Committee (</w:t>
      </w:r>
      <w:r w:rsidRPr="00126BD8">
        <w:rPr>
          <w:lang w:eastAsia="en-US"/>
        </w:rPr>
        <w:t>QASC</w:t>
      </w:r>
      <w:r w:rsidR="00361A4F">
        <w:rPr>
          <w:lang w:eastAsia="en-US"/>
        </w:rPr>
        <w:t>)</w:t>
      </w:r>
      <w:r w:rsidRPr="00126BD8">
        <w:rPr>
          <w:lang w:eastAsia="en-US"/>
        </w:rPr>
        <w:t xml:space="preserve"> for formal approval on behalf of Senate.</w:t>
      </w:r>
    </w:p>
    <w:p w14:paraId="1AEC9641" w14:textId="77777777" w:rsidR="00126BD8" w:rsidRPr="00126BD8" w:rsidRDefault="00126BD8" w:rsidP="00C91397">
      <w:pPr>
        <w:pStyle w:val="Heading4"/>
      </w:pPr>
      <w:bookmarkStart w:id="4" w:name="_1.3_Approval_of"/>
      <w:bookmarkEnd w:id="4"/>
      <w:r w:rsidRPr="00126BD8">
        <w:t>1.3 Approval of new modules</w:t>
      </w:r>
    </w:p>
    <w:p w14:paraId="014D04BF" w14:textId="77777777" w:rsidR="00126BD8" w:rsidRPr="00126BD8" w:rsidRDefault="00126BD8" w:rsidP="00126BD8">
      <w:pPr>
        <w:rPr>
          <w:lang w:eastAsia="en-US"/>
        </w:rPr>
      </w:pPr>
      <w:r w:rsidRPr="00C91397">
        <w:rPr>
          <w:b/>
          <w:sz w:val="20"/>
          <w:szCs w:val="20"/>
          <w:lang w:eastAsia="en-US"/>
        </w:rPr>
        <w:t>1.3.1</w:t>
      </w:r>
      <w:r w:rsidRPr="00126BD8">
        <w:rPr>
          <w:lang w:eastAsia="en-US"/>
        </w:rPr>
        <w:t xml:space="preserve"> The approval of a new module involves the development of a Module Specification and Supporti</w:t>
      </w:r>
      <w:r w:rsidR="00C91397">
        <w:rPr>
          <w:lang w:eastAsia="en-US"/>
        </w:rPr>
        <w:t>ng Information (MSSI) document.</w:t>
      </w:r>
      <w:r w:rsidRPr="00126BD8">
        <w:rPr>
          <w:lang w:eastAsia="en-US"/>
        </w:rPr>
        <w:t xml:space="preserve"> The information requested within the MSSI template is designed to contain the rationale as well as providing both public-facing information and information required for internal management of the module.</w:t>
      </w:r>
    </w:p>
    <w:p w14:paraId="02BBD1A8" w14:textId="3C0CBD9B" w:rsidR="00126BD8" w:rsidRPr="00126BD8" w:rsidRDefault="00126BD8" w:rsidP="00126BD8">
      <w:pPr>
        <w:rPr>
          <w:lang w:eastAsia="en-US"/>
        </w:rPr>
      </w:pPr>
      <w:r w:rsidRPr="00C91397">
        <w:rPr>
          <w:b/>
          <w:sz w:val="20"/>
          <w:szCs w:val="20"/>
          <w:lang w:eastAsia="en-US"/>
        </w:rPr>
        <w:t>1.3.2</w:t>
      </w:r>
      <w:r w:rsidRPr="00126BD8">
        <w:rPr>
          <w:lang w:eastAsia="en-US"/>
        </w:rPr>
        <w:t xml:space="preserve"> The academic approval process requires consideration of the MSSI documentation by the School(s) through the School </w:t>
      </w:r>
      <w:r w:rsidR="00361A4F">
        <w:rPr>
          <w:lang w:eastAsia="en-US"/>
        </w:rPr>
        <w:t>QASC</w:t>
      </w:r>
      <w:r w:rsidR="00C91397">
        <w:rPr>
          <w:lang w:eastAsia="en-US"/>
        </w:rPr>
        <w:t xml:space="preserve">(s) and/or School Board(s). </w:t>
      </w:r>
      <w:r w:rsidRPr="00126BD8">
        <w:rPr>
          <w:lang w:eastAsia="en-US"/>
        </w:rPr>
        <w:t>Prior to consideration by the relevant School committee(s) there is both internal and external and internal consultation including sharing the draft documentation with key internal stakeholders (</w:t>
      </w:r>
      <w:r w:rsidR="00B56778">
        <w:rPr>
          <w:lang w:eastAsia="en-US"/>
        </w:rPr>
        <w:t>including</w:t>
      </w:r>
      <w:r w:rsidRPr="00126BD8">
        <w:rPr>
          <w:lang w:eastAsia="en-US"/>
        </w:rPr>
        <w:t xml:space="preserve"> relevant Associate Deans, </w:t>
      </w:r>
      <w:r w:rsidR="00496A79">
        <w:rPr>
          <w:lang w:eastAsia="en-US"/>
        </w:rPr>
        <w:t>the Academic Skills Centre</w:t>
      </w:r>
      <w:r w:rsidRPr="00126BD8">
        <w:rPr>
          <w:lang w:eastAsia="en-US"/>
        </w:rPr>
        <w:t xml:space="preserve">, the Library and Learning Centre, </w:t>
      </w:r>
      <w:r w:rsidR="00C91397">
        <w:rPr>
          <w:lang w:eastAsia="en-US"/>
        </w:rPr>
        <w:t>External Relations</w:t>
      </w:r>
      <w:r w:rsidRPr="00126BD8">
        <w:rPr>
          <w:lang w:eastAsia="en-US"/>
        </w:rPr>
        <w:t>, Registry, Academic and Corporate Governance, Vice-Principals) through the University’s e-consultation process organised by the QAS office prior to consideration by the relevant School(s) committee(s).</w:t>
      </w:r>
    </w:p>
    <w:p w14:paraId="7A66CB55" w14:textId="77777777" w:rsidR="00126BD8" w:rsidRPr="00126BD8" w:rsidRDefault="00126BD8" w:rsidP="00126BD8">
      <w:pPr>
        <w:rPr>
          <w:lang w:eastAsia="en-US"/>
        </w:rPr>
      </w:pPr>
      <w:r w:rsidRPr="00C91397">
        <w:rPr>
          <w:b/>
          <w:sz w:val="20"/>
          <w:szCs w:val="20"/>
          <w:lang w:eastAsia="en-US"/>
        </w:rPr>
        <w:t>1.3.3</w:t>
      </w:r>
      <w:r w:rsidRPr="00126BD8">
        <w:rPr>
          <w:lang w:eastAsia="en-US"/>
        </w:rPr>
        <w:t xml:space="preserve"> The recommendation(s) from the School(s), along with the MSSI documentation that has been agreed through the School approval process, is re</w:t>
      </w:r>
      <w:r w:rsidR="00C91397">
        <w:rPr>
          <w:lang w:eastAsia="en-US"/>
        </w:rPr>
        <w:t xml:space="preserve">ported to the University QASC. </w:t>
      </w:r>
      <w:r w:rsidRPr="00126BD8">
        <w:rPr>
          <w:lang w:eastAsia="en-US"/>
        </w:rPr>
        <w:t>The QASC gives formal approval of the MSSI documentation on behalf of Senate.</w:t>
      </w:r>
    </w:p>
    <w:p w14:paraId="54937526" w14:textId="77777777" w:rsidR="00126BD8" w:rsidRPr="00126BD8" w:rsidRDefault="00126BD8" w:rsidP="00D10708">
      <w:pPr>
        <w:pStyle w:val="Heading4"/>
      </w:pPr>
      <w:bookmarkStart w:id="5" w:name="_1.4_Approval_of"/>
      <w:bookmarkEnd w:id="5"/>
      <w:r w:rsidRPr="00126BD8">
        <w:t>1.4 Approval of non-credit-bearing programmes</w:t>
      </w:r>
    </w:p>
    <w:p w14:paraId="3802084C" w14:textId="1B830DA9" w:rsidR="00126BD8" w:rsidRPr="00126BD8" w:rsidRDefault="00126BD8" w:rsidP="00126BD8">
      <w:pPr>
        <w:rPr>
          <w:lang w:eastAsia="en-US"/>
        </w:rPr>
      </w:pPr>
      <w:r w:rsidRPr="002E38BB">
        <w:rPr>
          <w:b/>
          <w:sz w:val="20"/>
          <w:szCs w:val="20"/>
          <w:lang w:eastAsia="en-US"/>
        </w:rPr>
        <w:t>1.4.1</w:t>
      </w:r>
      <w:r w:rsidRPr="00126BD8">
        <w:rPr>
          <w:lang w:eastAsia="en-US"/>
        </w:rPr>
        <w:t xml:space="preserve"> Non-credit-bearing taught provision is approved and reviewed in accordance with the University’s </w:t>
      </w:r>
      <w:hyperlink r:id="rId12" w:history="1">
        <w:r w:rsidRPr="00701235">
          <w:rPr>
            <w:rStyle w:val="Hyperlink"/>
            <w:color w:val="365F91" w:themeColor="accent1" w:themeShade="BF"/>
            <w:lang w:eastAsia="en-US"/>
          </w:rPr>
          <w:t>Policy and Guidance on the Approval and Review of Non-Credit-Bearing Taught Provision</w:t>
        </w:r>
      </w:hyperlink>
      <w:r w:rsidR="002E38BB">
        <w:rPr>
          <w:lang w:eastAsia="en-US"/>
        </w:rPr>
        <w:t>.</w:t>
      </w:r>
    </w:p>
    <w:p w14:paraId="7A311C3D" w14:textId="77777777" w:rsidR="005B00B7" w:rsidRDefault="005B00B7">
      <w:pPr>
        <w:spacing w:after="0"/>
        <w:jc w:val="left"/>
        <w:rPr>
          <w:rFonts w:asciiTheme="majorHAnsi" w:hAnsiTheme="majorHAnsi"/>
          <w:b/>
          <w:bCs/>
          <w:iCs/>
          <w:color w:val="3D5897"/>
          <w:szCs w:val="20"/>
          <w:lang w:eastAsia="en-US"/>
        </w:rPr>
      </w:pPr>
      <w:bookmarkStart w:id="6" w:name="_2._New_programme"/>
      <w:bookmarkEnd w:id="6"/>
      <w:r>
        <w:br w:type="page"/>
      </w:r>
    </w:p>
    <w:p w14:paraId="41052F1D" w14:textId="26392AF1" w:rsidR="00126BD8" w:rsidRPr="00126BD8" w:rsidRDefault="00126BD8" w:rsidP="00733E01">
      <w:pPr>
        <w:pStyle w:val="Heading3"/>
      </w:pPr>
      <w:bookmarkStart w:id="7" w:name="_2._New_programme_1"/>
      <w:bookmarkEnd w:id="7"/>
      <w:r w:rsidRPr="00126BD8">
        <w:lastRenderedPageBreak/>
        <w:t>2. New programme approval</w:t>
      </w:r>
    </w:p>
    <w:p w14:paraId="7EED4DC3" w14:textId="77777777" w:rsidR="00126BD8" w:rsidRPr="00126BD8" w:rsidRDefault="00126BD8" w:rsidP="00733E01">
      <w:pPr>
        <w:pStyle w:val="Heading4"/>
      </w:pPr>
      <w:bookmarkStart w:id="8" w:name="_2.1_Preamble"/>
      <w:bookmarkEnd w:id="8"/>
      <w:r w:rsidRPr="00126BD8">
        <w:t>2.1 Preamble</w:t>
      </w:r>
    </w:p>
    <w:p w14:paraId="70CD370F" w14:textId="77777777" w:rsidR="00126BD8" w:rsidRPr="00126BD8" w:rsidRDefault="00126BD8" w:rsidP="00126BD8">
      <w:pPr>
        <w:rPr>
          <w:lang w:eastAsia="en-US"/>
        </w:rPr>
      </w:pPr>
      <w:r w:rsidRPr="00733E01">
        <w:rPr>
          <w:b/>
          <w:sz w:val="20"/>
          <w:szCs w:val="20"/>
          <w:lang w:eastAsia="en-US"/>
        </w:rPr>
        <w:t>2.1.1</w:t>
      </w:r>
      <w:r w:rsidRPr="00126BD8">
        <w:rPr>
          <w:lang w:eastAsia="en-US"/>
        </w:rPr>
        <w:t xml:space="preserve"> The process for programme approval has been designed to align with the expectations and indicators of sound practice described in the QAA’s UK Quality Code, especially Chapter B1: Programme Des</w:t>
      </w:r>
      <w:r w:rsidR="00733E01">
        <w:rPr>
          <w:lang w:eastAsia="en-US"/>
        </w:rPr>
        <w:t xml:space="preserve">ign, Development and Approval. </w:t>
      </w:r>
      <w:r w:rsidRPr="00126BD8">
        <w:rPr>
          <w:lang w:eastAsia="en-US"/>
        </w:rPr>
        <w:t>The process applies to all proposals for new taught programmes, both undergraduate and postgraduate.</w:t>
      </w:r>
    </w:p>
    <w:p w14:paraId="0BC63928" w14:textId="77777777" w:rsidR="00126BD8" w:rsidRPr="00126BD8" w:rsidRDefault="00126BD8" w:rsidP="00126BD8">
      <w:pPr>
        <w:rPr>
          <w:lang w:eastAsia="en-US"/>
        </w:rPr>
      </w:pPr>
      <w:r w:rsidRPr="00733E01">
        <w:rPr>
          <w:b/>
          <w:sz w:val="20"/>
          <w:szCs w:val="20"/>
          <w:lang w:eastAsia="en-US"/>
        </w:rPr>
        <w:t>2.1.2</w:t>
      </w:r>
      <w:r w:rsidRPr="00126BD8">
        <w:rPr>
          <w:lang w:eastAsia="en-US"/>
        </w:rPr>
        <w:t xml:space="preserve"> The design and approval of a new programme requires significant cons</w:t>
      </w:r>
      <w:r w:rsidR="00733E01">
        <w:rPr>
          <w:lang w:eastAsia="en-US"/>
        </w:rPr>
        <w:t xml:space="preserve">ultation and development work. </w:t>
      </w:r>
      <w:r w:rsidRPr="00126BD8">
        <w:rPr>
          <w:lang w:eastAsia="en-US"/>
        </w:rPr>
        <w:t>Due allowance should</w:t>
      </w:r>
      <w:r w:rsidR="00733E01">
        <w:rPr>
          <w:lang w:eastAsia="en-US"/>
        </w:rPr>
        <w:t xml:space="preserve"> be made for this. </w:t>
      </w:r>
      <w:r w:rsidRPr="00126BD8">
        <w:rPr>
          <w:lang w:eastAsia="en-US"/>
        </w:rPr>
        <w:t>The expected norm is for proposals to be formally approved during semester time and for an adequate period</w:t>
      </w:r>
      <w:r w:rsidR="00B77AB5">
        <w:rPr>
          <w:rStyle w:val="FootnoteReference"/>
          <w:lang w:eastAsia="en-US"/>
        </w:rPr>
        <w:footnoteReference w:id="4"/>
      </w:r>
      <w:r w:rsidRPr="00126BD8">
        <w:rPr>
          <w:lang w:eastAsia="en-US"/>
        </w:rPr>
        <w:t xml:space="preserve"> to be allocated for </w:t>
      </w:r>
      <w:r w:rsidR="00733E01">
        <w:rPr>
          <w:lang w:eastAsia="en-US"/>
        </w:rPr>
        <w:t xml:space="preserve">promotional </w:t>
      </w:r>
      <w:r w:rsidRPr="00126BD8">
        <w:rPr>
          <w:lang w:eastAsia="en-US"/>
        </w:rPr>
        <w:t>marketing, the provision of accurate public-facing information and administrati</w:t>
      </w:r>
      <w:r w:rsidR="00B77AB5">
        <w:rPr>
          <w:lang w:eastAsia="en-US"/>
        </w:rPr>
        <w:t xml:space="preserve">on related to student records. </w:t>
      </w:r>
      <w:r w:rsidRPr="00126BD8">
        <w:rPr>
          <w:lang w:eastAsia="en-US"/>
        </w:rPr>
        <w:t xml:space="preserve">Consultation with </w:t>
      </w:r>
      <w:r w:rsidR="001145BB">
        <w:rPr>
          <w:lang w:eastAsia="en-US"/>
        </w:rPr>
        <w:t>External Relations</w:t>
      </w:r>
      <w:r w:rsidRPr="00126BD8">
        <w:rPr>
          <w:lang w:eastAsia="en-US"/>
        </w:rPr>
        <w:t>, the Registry and the Library and Learning Centre (LLC) at the earliest possible stage is essential.</w:t>
      </w:r>
    </w:p>
    <w:p w14:paraId="4E8B6D00" w14:textId="58F318F4" w:rsidR="00126BD8" w:rsidRPr="00126BD8" w:rsidRDefault="00126BD8" w:rsidP="00126BD8">
      <w:pPr>
        <w:rPr>
          <w:lang w:eastAsia="en-US"/>
        </w:rPr>
      </w:pPr>
      <w:r w:rsidRPr="001145BB">
        <w:rPr>
          <w:b/>
          <w:sz w:val="20"/>
          <w:szCs w:val="20"/>
          <w:lang w:eastAsia="en-US"/>
        </w:rPr>
        <w:t>2.1.3</w:t>
      </w:r>
      <w:r w:rsidRPr="00126BD8">
        <w:rPr>
          <w:lang w:eastAsia="en-US"/>
        </w:rPr>
        <w:t xml:space="preserve"> In situations where approvals need to be made </w:t>
      </w:r>
      <w:proofErr w:type="spellStart"/>
      <w:r w:rsidRPr="00126BD8">
        <w:rPr>
          <w:lang w:eastAsia="en-US"/>
        </w:rPr>
        <w:t>outwith</w:t>
      </w:r>
      <w:proofErr w:type="spellEnd"/>
      <w:r w:rsidRPr="00126BD8">
        <w:rPr>
          <w:lang w:eastAsia="en-US"/>
        </w:rPr>
        <w:t xml:space="preserve"> the normal reporting process the University’s </w:t>
      </w:r>
      <w:hyperlink r:id="rId13" w:history="1">
        <w:r w:rsidRPr="00EB6228">
          <w:rPr>
            <w:rStyle w:val="Hyperlink"/>
            <w:color w:val="365F91" w:themeColor="accent1" w:themeShade="BF"/>
            <w:lang w:eastAsia="en-US"/>
          </w:rPr>
          <w:t>Emergency Powers</w:t>
        </w:r>
      </w:hyperlink>
      <w:r w:rsidR="001145BB">
        <w:rPr>
          <w:lang w:eastAsia="en-US"/>
        </w:rPr>
        <w:t xml:space="preserve"> process should be used. </w:t>
      </w:r>
      <w:r w:rsidRPr="00126BD8">
        <w:rPr>
          <w:lang w:eastAsia="en-US"/>
        </w:rPr>
        <w:t>This involves obtaining retrospective approval from t</w:t>
      </w:r>
      <w:r w:rsidR="00CD6C2A">
        <w:rPr>
          <w:lang w:eastAsia="en-US"/>
        </w:rPr>
        <w:t>he University QASC</w:t>
      </w:r>
      <w:r w:rsidR="001145BB">
        <w:rPr>
          <w:lang w:eastAsia="en-US"/>
        </w:rPr>
        <w:t xml:space="preserve">. </w:t>
      </w:r>
      <w:r w:rsidRPr="00126BD8">
        <w:rPr>
          <w:lang w:eastAsia="en-US"/>
        </w:rPr>
        <w:t>Emergency Powers should only be used under exceptional circumstances for th</w:t>
      </w:r>
      <w:r w:rsidR="00CD6C2A">
        <w:rPr>
          <w:lang w:eastAsia="en-US"/>
        </w:rPr>
        <w:t xml:space="preserve">e approval of </w:t>
      </w:r>
      <w:r w:rsidR="001145BB">
        <w:rPr>
          <w:lang w:eastAsia="en-US"/>
        </w:rPr>
        <w:t>new programme</w:t>
      </w:r>
      <w:r w:rsidR="00CD6C2A">
        <w:rPr>
          <w:lang w:eastAsia="en-US"/>
        </w:rPr>
        <w:t>s</w:t>
      </w:r>
      <w:r w:rsidR="001145BB">
        <w:rPr>
          <w:lang w:eastAsia="en-US"/>
        </w:rPr>
        <w:t xml:space="preserve">. </w:t>
      </w:r>
      <w:r w:rsidR="0033151A">
        <w:rPr>
          <w:lang w:eastAsia="en-US"/>
        </w:rPr>
        <w:t xml:space="preserve">QASC meetings </w:t>
      </w:r>
      <w:r w:rsidR="00740EC5">
        <w:rPr>
          <w:lang w:eastAsia="en-US"/>
        </w:rPr>
        <w:t xml:space="preserve">are convened throughout the calendar year, with </w:t>
      </w:r>
      <w:r w:rsidR="00EB6228">
        <w:rPr>
          <w:lang w:eastAsia="en-US"/>
        </w:rPr>
        <w:t>6-</w:t>
      </w:r>
      <w:r w:rsidR="00740EC5">
        <w:rPr>
          <w:lang w:eastAsia="en-US"/>
        </w:rPr>
        <w:t>7 scheduled meetings pe</w:t>
      </w:r>
      <w:r w:rsidR="007B32F7">
        <w:rPr>
          <w:lang w:eastAsia="en-US"/>
        </w:rPr>
        <w:t>r annum.</w:t>
      </w:r>
    </w:p>
    <w:p w14:paraId="55E17F0D" w14:textId="77777777" w:rsidR="00126BD8" w:rsidRPr="00126BD8" w:rsidRDefault="00126BD8" w:rsidP="007B32F7">
      <w:pPr>
        <w:pStyle w:val="Heading4"/>
      </w:pPr>
      <w:bookmarkStart w:id="9" w:name="_2.2_Development_and"/>
      <w:bookmarkEnd w:id="9"/>
      <w:r w:rsidRPr="00126BD8">
        <w:t>2.2 Development and approval of a rationale and business case for a new taught programme</w:t>
      </w:r>
    </w:p>
    <w:p w14:paraId="46D3FEB2" w14:textId="77777777" w:rsidR="00126BD8" w:rsidRPr="00126BD8" w:rsidRDefault="00126BD8" w:rsidP="00126BD8">
      <w:pPr>
        <w:rPr>
          <w:lang w:eastAsia="en-US"/>
        </w:rPr>
      </w:pPr>
      <w:r w:rsidRPr="007B32F7">
        <w:rPr>
          <w:b/>
          <w:sz w:val="20"/>
          <w:szCs w:val="20"/>
          <w:lang w:eastAsia="en-US"/>
        </w:rPr>
        <w:t>2.2.1</w:t>
      </w:r>
      <w:r w:rsidRPr="00126BD8">
        <w:rPr>
          <w:lang w:eastAsia="en-US"/>
        </w:rPr>
        <w:t xml:space="preserve"> Prior to developing a full rationale and business case, the idea should be discussed in principle at School level, involving the Dean(s) and Associate Deans (Learning and Teaching, Quality and Academic Standards, Internationalisation, as appropriate) to consider:</w:t>
      </w:r>
    </w:p>
    <w:p w14:paraId="4DDEDEDC" w14:textId="77777777" w:rsidR="00126BD8" w:rsidRPr="00126BD8" w:rsidRDefault="00126BD8" w:rsidP="007B32F7">
      <w:pPr>
        <w:numPr>
          <w:ilvl w:val="0"/>
          <w:numId w:val="3"/>
        </w:numPr>
        <w:ind w:left="714" w:hanging="357"/>
        <w:contextualSpacing/>
        <w:rPr>
          <w:lang w:eastAsia="en-US"/>
        </w:rPr>
      </w:pPr>
      <w:r w:rsidRPr="00126BD8">
        <w:rPr>
          <w:lang w:eastAsia="en-US"/>
        </w:rPr>
        <w:t>how the idea relates to operational plans and strategies at School and University levels;</w:t>
      </w:r>
    </w:p>
    <w:p w14:paraId="7A1882D9" w14:textId="77777777" w:rsidR="00126BD8" w:rsidRPr="00126BD8" w:rsidRDefault="00126BD8" w:rsidP="007B32F7">
      <w:pPr>
        <w:numPr>
          <w:ilvl w:val="0"/>
          <w:numId w:val="3"/>
        </w:numPr>
        <w:ind w:left="714" w:hanging="357"/>
        <w:contextualSpacing/>
        <w:rPr>
          <w:lang w:eastAsia="en-US"/>
        </w:rPr>
      </w:pPr>
      <w:r w:rsidRPr="00126BD8">
        <w:rPr>
          <w:lang w:eastAsia="en-US"/>
        </w:rPr>
        <w:t>whether staff time should be spent on development of the proposal; and</w:t>
      </w:r>
    </w:p>
    <w:p w14:paraId="1960B260" w14:textId="77777777" w:rsidR="00126BD8" w:rsidRPr="00126BD8" w:rsidRDefault="00126BD8" w:rsidP="00126BD8">
      <w:pPr>
        <w:numPr>
          <w:ilvl w:val="0"/>
          <w:numId w:val="3"/>
        </w:numPr>
        <w:rPr>
          <w:lang w:eastAsia="en-US"/>
        </w:rPr>
      </w:pPr>
      <w:r w:rsidRPr="00126BD8">
        <w:rPr>
          <w:lang w:eastAsia="en-US"/>
        </w:rPr>
        <w:t>sources of guidance and support to help the development process.</w:t>
      </w:r>
    </w:p>
    <w:p w14:paraId="2DA7C3F3" w14:textId="055CB55B" w:rsidR="00126BD8" w:rsidRPr="00126BD8" w:rsidRDefault="00126BD8" w:rsidP="00126BD8">
      <w:pPr>
        <w:rPr>
          <w:lang w:eastAsia="en-US"/>
        </w:rPr>
      </w:pPr>
      <w:r w:rsidRPr="00457751">
        <w:rPr>
          <w:b/>
          <w:sz w:val="20"/>
          <w:szCs w:val="20"/>
          <w:lang w:eastAsia="en-US"/>
        </w:rPr>
        <w:t>2.2.2</w:t>
      </w:r>
      <w:r w:rsidRPr="00126BD8">
        <w:rPr>
          <w:lang w:eastAsia="en-US"/>
        </w:rPr>
        <w:t xml:space="preserve"> Once there is agreement to proceed, there should be an early discussion with Extern</w:t>
      </w:r>
      <w:r w:rsidR="005737E0">
        <w:rPr>
          <w:lang w:eastAsia="en-US"/>
        </w:rPr>
        <w:t xml:space="preserve">al Relations </w:t>
      </w:r>
      <w:r w:rsidR="007A2200">
        <w:rPr>
          <w:lang w:eastAsia="en-US"/>
        </w:rPr>
        <w:t xml:space="preserve">(Student Recruitment and Admissions and Marketing teams) </w:t>
      </w:r>
      <w:r w:rsidRPr="00126BD8">
        <w:rPr>
          <w:lang w:eastAsia="en-US"/>
        </w:rPr>
        <w:t xml:space="preserve">to consider likely demand for the proposed programme and considerations and timescales </w:t>
      </w:r>
      <w:r w:rsidR="005737E0">
        <w:rPr>
          <w:lang w:eastAsia="en-US"/>
        </w:rPr>
        <w:t xml:space="preserve">for marketing and recruitment. </w:t>
      </w:r>
      <w:r w:rsidRPr="00126BD8">
        <w:rPr>
          <w:lang w:eastAsia="en-US"/>
        </w:rPr>
        <w:t xml:space="preserve">This must involve market research and the production of a marketing </w:t>
      </w:r>
      <w:r w:rsidR="005737E0">
        <w:rPr>
          <w:lang w:eastAsia="en-US"/>
        </w:rPr>
        <w:t xml:space="preserve">plan. </w:t>
      </w:r>
      <w:r w:rsidRPr="00126BD8">
        <w:rPr>
          <w:lang w:eastAsia="en-US"/>
        </w:rPr>
        <w:t>Any needs beyond current service provision should be discussed at an early stage with relevant Professional Services.</w:t>
      </w:r>
    </w:p>
    <w:p w14:paraId="1815082A" w14:textId="23EBEFD2" w:rsidR="00126BD8" w:rsidRPr="00126BD8" w:rsidRDefault="00126BD8" w:rsidP="00126BD8">
      <w:pPr>
        <w:rPr>
          <w:lang w:eastAsia="en-US"/>
        </w:rPr>
      </w:pPr>
      <w:r w:rsidRPr="00EB6228">
        <w:rPr>
          <w:b/>
          <w:sz w:val="20"/>
          <w:szCs w:val="20"/>
          <w:lang w:eastAsia="en-US"/>
        </w:rPr>
        <w:t>2.2.3</w:t>
      </w:r>
      <w:r w:rsidRPr="00EB6228">
        <w:rPr>
          <w:lang w:eastAsia="en-US"/>
        </w:rPr>
        <w:t xml:space="preserve"> The rationale and business case for a new taught programme should be developed </w:t>
      </w:r>
      <w:r w:rsidR="00EA7DEF" w:rsidRPr="00EB6228">
        <w:rPr>
          <w:lang w:eastAsia="en-US"/>
        </w:rPr>
        <w:t xml:space="preserve">in consultation with the </w:t>
      </w:r>
      <w:hyperlink r:id="rId14" w:history="1">
        <w:r w:rsidR="00EA7DEF" w:rsidRPr="00EB6228">
          <w:rPr>
            <w:rStyle w:val="Hyperlink"/>
            <w:color w:val="365F91" w:themeColor="accent1" w:themeShade="BF"/>
            <w:lang w:eastAsia="en-US"/>
          </w:rPr>
          <w:t>Educational Partnerships Development Unit</w:t>
        </w:r>
      </w:hyperlink>
      <w:r w:rsidR="00EA7DEF" w:rsidRPr="00EB6228">
        <w:rPr>
          <w:lang w:eastAsia="en-US"/>
        </w:rPr>
        <w:t xml:space="preserve"> (EPDU)</w:t>
      </w:r>
      <w:r w:rsidR="00C323C7" w:rsidRPr="00EB6228">
        <w:rPr>
          <w:lang w:eastAsia="en-US"/>
        </w:rPr>
        <w:t>.</w:t>
      </w:r>
      <w:r w:rsidR="00EA7DEF" w:rsidRPr="00EB6228">
        <w:rPr>
          <w:lang w:eastAsia="en-US"/>
        </w:rPr>
        <w:t xml:space="preserve"> T</w:t>
      </w:r>
      <w:r w:rsidRPr="00EB6228">
        <w:rPr>
          <w:lang w:eastAsia="en-US"/>
        </w:rPr>
        <w:t xml:space="preserve">he </w:t>
      </w:r>
      <w:hyperlink r:id="rId15" w:history="1">
        <w:r w:rsidRPr="000A6851">
          <w:rPr>
            <w:rStyle w:val="Hyperlink"/>
            <w:color w:val="365F91" w:themeColor="accent1" w:themeShade="BF"/>
            <w:lang w:eastAsia="en-US"/>
          </w:rPr>
          <w:t>New Taught Programme Rationale and Business Case template</w:t>
        </w:r>
      </w:hyperlink>
      <w:r w:rsidR="00BB478C" w:rsidRPr="00EB6228">
        <w:rPr>
          <w:lang w:eastAsia="en-US"/>
        </w:rPr>
        <w:t xml:space="preserve"> must be completed as part of the process</w:t>
      </w:r>
      <w:r w:rsidR="00971CC4" w:rsidRPr="00EB6228">
        <w:rPr>
          <w:lang w:eastAsia="en-US"/>
        </w:rPr>
        <w:t xml:space="preserve">. The EPDU also provides templates and guidance for financial planning. </w:t>
      </w:r>
      <w:r w:rsidRPr="00EB6228">
        <w:rPr>
          <w:lang w:eastAsia="en-US"/>
        </w:rPr>
        <w:t>The rationale and business case must be approved by the senior management group(s) of the School(s) and by</w:t>
      </w:r>
      <w:r w:rsidR="00EA7DEF" w:rsidRPr="00EB6228">
        <w:rPr>
          <w:lang w:eastAsia="en-US"/>
        </w:rPr>
        <w:t xml:space="preserve"> </w:t>
      </w:r>
      <w:r w:rsidR="000A6851">
        <w:rPr>
          <w:lang w:eastAsia="en-US"/>
        </w:rPr>
        <w:t>the Educational Business Development Oversight Group (</w:t>
      </w:r>
      <w:r w:rsidR="00EA7DEF" w:rsidRPr="00EB6228">
        <w:rPr>
          <w:lang w:eastAsia="en-US"/>
        </w:rPr>
        <w:t>EBDOG</w:t>
      </w:r>
      <w:r w:rsidR="000A6851">
        <w:rPr>
          <w:lang w:eastAsia="en-US"/>
        </w:rPr>
        <w:t>)</w:t>
      </w:r>
      <w:r w:rsidRPr="00EB6228">
        <w:rPr>
          <w:lang w:eastAsia="en-US"/>
        </w:rPr>
        <w:t xml:space="preserve"> </w:t>
      </w:r>
      <w:r w:rsidR="00BB478C" w:rsidRPr="00EB6228">
        <w:rPr>
          <w:lang w:eastAsia="en-US"/>
        </w:rPr>
        <w:t xml:space="preserve">or its designated subgroup for business case approval </w:t>
      </w:r>
      <w:r w:rsidRPr="00EB6228">
        <w:rPr>
          <w:lang w:eastAsia="en-US"/>
        </w:rPr>
        <w:t>before progressing to the academic approval stage.</w:t>
      </w:r>
    </w:p>
    <w:p w14:paraId="79E6E049" w14:textId="77777777" w:rsidR="00126BD8" w:rsidRPr="00126BD8" w:rsidRDefault="00126BD8" w:rsidP="00AD5E82">
      <w:pPr>
        <w:pStyle w:val="Heading4"/>
      </w:pPr>
      <w:bookmarkStart w:id="10" w:name="_2.3_Design_of"/>
      <w:bookmarkEnd w:id="10"/>
      <w:r w:rsidRPr="00126BD8">
        <w:t>2.3 Design of a new taught programme</w:t>
      </w:r>
    </w:p>
    <w:p w14:paraId="29375718" w14:textId="2B47DDA5" w:rsidR="00126BD8" w:rsidRPr="00126BD8" w:rsidRDefault="00126BD8" w:rsidP="00126BD8">
      <w:pPr>
        <w:rPr>
          <w:lang w:eastAsia="en-US"/>
        </w:rPr>
      </w:pPr>
      <w:r w:rsidRPr="00AD5E82">
        <w:rPr>
          <w:b/>
          <w:sz w:val="20"/>
          <w:szCs w:val="20"/>
          <w:lang w:eastAsia="en-US"/>
        </w:rPr>
        <w:t>2.3.1</w:t>
      </w:r>
      <w:r w:rsidRPr="00126BD8">
        <w:rPr>
          <w:lang w:eastAsia="en-US"/>
        </w:rPr>
        <w:t xml:space="preserve"> Programme design should consider the academic and/or professional purpose of the programme, the intended learning outcomes (ILOs) that are necessary to achieve that purpose and how students wil</w:t>
      </w:r>
      <w:r w:rsidR="00AD5E82">
        <w:rPr>
          <w:lang w:eastAsia="en-US"/>
        </w:rPr>
        <w:t xml:space="preserve">l be enabled to achieve these. </w:t>
      </w:r>
      <w:r w:rsidRPr="00126BD8">
        <w:rPr>
          <w:lang w:eastAsia="en-US"/>
        </w:rPr>
        <w:t>An integral part of programme design is the strategy to assess how students have achieved the ILOs, including formative assessment elements.</w:t>
      </w:r>
    </w:p>
    <w:p w14:paraId="4B14EFE3" w14:textId="243732A9" w:rsidR="00126BD8" w:rsidRPr="00126BD8" w:rsidRDefault="00126BD8" w:rsidP="00126BD8">
      <w:pPr>
        <w:rPr>
          <w:lang w:eastAsia="en-US"/>
        </w:rPr>
      </w:pPr>
      <w:r w:rsidRPr="00AD5E82">
        <w:rPr>
          <w:b/>
          <w:sz w:val="20"/>
          <w:szCs w:val="20"/>
          <w:lang w:eastAsia="en-US"/>
        </w:rPr>
        <w:lastRenderedPageBreak/>
        <w:t>2.3.2</w:t>
      </w:r>
      <w:r w:rsidRPr="00126BD8">
        <w:rPr>
          <w:lang w:eastAsia="en-US"/>
        </w:rPr>
        <w:t xml:space="preserve"> The document </w:t>
      </w:r>
      <w:hyperlink r:id="rId16" w:history="1">
        <w:r w:rsidRPr="00AB7B25">
          <w:rPr>
            <w:rStyle w:val="Hyperlink"/>
            <w:color w:val="365F91" w:themeColor="accent1" w:themeShade="BF"/>
            <w:lang w:eastAsia="en-US"/>
          </w:rPr>
          <w:t>Considerations of good practice for taught programmes</w:t>
        </w:r>
      </w:hyperlink>
      <w:r w:rsidRPr="00126BD8">
        <w:rPr>
          <w:lang w:eastAsia="en-US"/>
        </w:rPr>
        <w:t xml:space="preserve"> (Appendix 1) defines a set of considerations of good practice for the design, approval and review</w:t>
      </w:r>
      <w:r w:rsidR="00AD5E82">
        <w:rPr>
          <w:lang w:eastAsia="en-US"/>
        </w:rPr>
        <w:t xml:space="preserve"> of taught provision. </w:t>
      </w:r>
      <w:r w:rsidRPr="00126BD8">
        <w:rPr>
          <w:lang w:eastAsia="en-US"/>
        </w:rPr>
        <w:t>Where possible, the design of the programme should involve input or feedback from students on related programmes and input from potential employers/industry.</w:t>
      </w:r>
    </w:p>
    <w:p w14:paraId="7D43ABD5" w14:textId="76DC6FF2" w:rsidR="00126BD8" w:rsidRPr="00126BD8" w:rsidRDefault="00126BD8" w:rsidP="00126BD8">
      <w:pPr>
        <w:rPr>
          <w:lang w:eastAsia="en-US"/>
        </w:rPr>
      </w:pPr>
      <w:r w:rsidRPr="007337C7">
        <w:rPr>
          <w:b/>
          <w:sz w:val="20"/>
          <w:szCs w:val="20"/>
          <w:lang w:eastAsia="en-US"/>
        </w:rPr>
        <w:t>2.3.3</w:t>
      </w:r>
      <w:r w:rsidRPr="00126BD8">
        <w:rPr>
          <w:lang w:eastAsia="en-US"/>
        </w:rPr>
        <w:t xml:space="preserve"> The ILOs for the programme should be designed and written to reflect the level of the intended final qualification through the level descriptors provided by the </w:t>
      </w:r>
      <w:hyperlink r:id="rId17" w:history="1">
        <w:r w:rsidRPr="007337C7">
          <w:rPr>
            <w:rStyle w:val="Hyperlink"/>
            <w:color w:val="365F91" w:themeColor="accent1" w:themeShade="BF"/>
            <w:lang w:eastAsia="en-US"/>
          </w:rPr>
          <w:t>Scottish Credit and Qualifications Framework</w:t>
        </w:r>
      </w:hyperlink>
      <w:r w:rsidRPr="00126BD8">
        <w:rPr>
          <w:lang w:eastAsia="en-US"/>
        </w:rPr>
        <w:t xml:space="preserve"> (SCQF) and the </w:t>
      </w:r>
      <w:hyperlink r:id="rId18" w:history="1">
        <w:r w:rsidRPr="007337C7">
          <w:rPr>
            <w:rStyle w:val="Hyperlink"/>
            <w:color w:val="365F91" w:themeColor="accent1" w:themeShade="BF"/>
            <w:lang w:eastAsia="en-US"/>
          </w:rPr>
          <w:t>Framework for Qualifications of Higher Education Institutions in Scotland</w:t>
        </w:r>
      </w:hyperlink>
      <w:r w:rsidR="007337C7">
        <w:rPr>
          <w:lang w:eastAsia="en-US"/>
        </w:rPr>
        <w:t xml:space="preserve">. </w:t>
      </w:r>
      <w:r w:rsidRPr="00126BD8">
        <w:rPr>
          <w:lang w:eastAsia="en-US"/>
        </w:rPr>
        <w:t xml:space="preserve">The </w:t>
      </w:r>
      <w:hyperlink r:id="rId19" w:history="1">
        <w:r w:rsidRPr="007337C7">
          <w:rPr>
            <w:rStyle w:val="Hyperlink"/>
            <w:color w:val="365F91" w:themeColor="accent1" w:themeShade="BF"/>
            <w:lang w:eastAsia="en-US"/>
          </w:rPr>
          <w:t>QAA subject benchmark statements</w:t>
        </w:r>
      </w:hyperlink>
      <w:r w:rsidRPr="00126BD8">
        <w:rPr>
          <w:lang w:eastAsia="en-US"/>
        </w:rPr>
        <w:t xml:space="preserve"> and the requirements of PSRBs should be take</w:t>
      </w:r>
      <w:r w:rsidR="007337C7">
        <w:rPr>
          <w:lang w:eastAsia="en-US"/>
        </w:rPr>
        <w:t xml:space="preserve">n into account where relevant. </w:t>
      </w:r>
      <w:r w:rsidRPr="00126BD8">
        <w:rPr>
          <w:lang w:eastAsia="en-US"/>
        </w:rPr>
        <w:t>The ILOs should be described under the following headings:</w:t>
      </w:r>
    </w:p>
    <w:p w14:paraId="2823F873" w14:textId="77777777" w:rsidR="00126BD8" w:rsidRPr="00126BD8" w:rsidRDefault="00126BD8" w:rsidP="007337C7">
      <w:pPr>
        <w:numPr>
          <w:ilvl w:val="0"/>
          <w:numId w:val="1"/>
        </w:numPr>
        <w:ind w:left="714" w:hanging="357"/>
        <w:contextualSpacing/>
        <w:rPr>
          <w:lang w:eastAsia="en-US"/>
        </w:rPr>
      </w:pPr>
      <w:r w:rsidRPr="00126BD8">
        <w:rPr>
          <w:lang w:eastAsia="en-US"/>
        </w:rPr>
        <w:t>Knowledge and understanding.</w:t>
      </w:r>
    </w:p>
    <w:p w14:paraId="06FF272D" w14:textId="77777777" w:rsidR="00126BD8" w:rsidRPr="00126BD8" w:rsidRDefault="00126BD8" w:rsidP="007337C7">
      <w:pPr>
        <w:numPr>
          <w:ilvl w:val="0"/>
          <w:numId w:val="1"/>
        </w:numPr>
        <w:ind w:left="714" w:hanging="357"/>
        <w:contextualSpacing/>
        <w:rPr>
          <w:lang w:eastAsia="en-US"/>
        </w:rPr>
      </w:pPr>
      <w:r w:rsidRPr="00126BD8">
        <w:rPr>
          <w:lang w:eastAsia="en-US"/>
        </w:rPr>
        <w:t>Subject-specific practical and intellectual skills and attributes.</w:t>
      </w:r>
    </w:p>
    <w:p w14:paraId="058EA332" w14:textId="77777777" w:rsidR="00126BD8" w:rsidRPr="00126BD8" w:rsidRDefault="00126BD8" w:rsidP="00126BD8">
      <w:pPr>
        <w:numPr>
          <w:ilvl w:val="0"/>
          <w:numId w:val="1"/>
        </w:numPr>
        <w:rPr>
          <w:lang w:eastAsia="en-US"/>
        </w:rPr>
      </w:pPr>
      <w:r w:rsidRPr="00126BD8">
        <w:rPr>
          <w:lang w:eastAsia="en-US"/>
        </w:rPr>
        <w:t>Transferable, employability and enterprise skills and attributes.</w:t>
      </w:r>
    </w:p>
    <w:p w14:paraId="4C177155" w14:textId="77777777" w:rsidR="00126BD8" w:rsidRPr="00126BD8" w:rsidRDefault="00126BD8" w:rsidP="00126BD8">
      <w:pPr>
        <w:rPr>
          <w:lang w:eastAsia="en-US"/>
        </w:rPr>
      </w:pPr>
      <w:r w:rsidRPr="00126BD8">
        <w:rPr>
          <w:lang w:eastAsia="en-US"/>
        </w:rPr>
        <w:t>Ideally there should be no more than 5 ILOs per heading under these three headline areas.</w:t>
      </w:r>
    </w:p>
    <w:p w14:paraId="3A639E40" w14:textId="37144CDF" w:rsidR="00126BD8" w:rsidRPr="00126BD8" w:rsidRDefault="00126BD8" w:rsidP="00126BD8">
      <w:pPr>
        <w:rPr>
          <w:lang w:eastAsia="en-US"/>
        </w:rPr>
      </w:pPr>
      <w:r w:rsidRPr="007337C7">
        <w:rPr>
          <w:b/>
          <w:sz w:val="20"/>
          <w:szCs w:val="20"/>
          <w:lang w:eastAsia="en-US"/>
        </w:rPr>
        <w:t>2.3.4</w:t>
      </w:r>
      <w:r w:rsidRPr="00126BD8">
        <w:rPr>
          <w:lang w:eastAsia="en-US"/>
        </w:rPr>
        <w:t xml:space="preserve"> In the development and description of ILOs, programme developers may find the Bloom’s Taxonomy referenced by the SCQF in their booklet </w:t>
      </w:r>
      <w:hyperlink r:id="rId20" w:history="1">
        <w:r w:rsidRPr="00A657B3">
          <w:rPr>
            <w:rStyle w:val="Hyperlink"/>
            <w:color w:val="3D5897"/>
            <w:lang w:eastAsia="en-US"/>
          </w:rPr>
          <w:t>SCQF Credit Rating Criteria Explained</w:t>
        </w:r>
      </w:hyperlink>
      <w:r w:rsidRPr="00A657B3">
        <w:rPr>
          <w:color w:val="3D5897"/>
          <w:lang w:eastAsia="en-US"/>
        </w:rPr>
        <w:t xml:space="preserve"> </w:t>
      </w:r>
      <w:r w:rsidRPr="00126BD8">
        <w:rPr>
          <w:lang w:eastAsia="en-US"/>
        </w:rPr>
        <w:t>to be a helpful resource.</w:t>
      </w:r>
    </w:p>
    <w:p w14:paraId="1ABAC4F5" w14:textId="6C90A6A5" w:rsidR="00126BD8" w:rsidRPr="00126BD8" w:rsidRDefault="00126BD8" w:rsidP="00126BD8">
      <w:pPr>
        <w:rPr>
          <w:lang w:eastAsia="en-US"/>
        </w:rPr>
      </w:pPr>
      <w:r w:rsidRPr="007337C7">
        <w:rPr>
          <w:b/>
          <w:sz w:val="20"/>
          <w:szCs w:val="20"/>
          <w:lang w:eastAsia="en-US"/>
        </w:rPr>
        <w:t>2.3.5</w:t>
      </w:r>
      <w:r w:rsidRPr="00126BD8">
        <w:rPr>
          <w:lang w:eastAsia="en-US"/>
        </w:rPr>
        <w:t xml:space="preserve"> Advice may be sought from the Head of the</w:t>
      </w:r>
      <w:r w:rsidR="00AB7B25">
        <w:rPr>
          <w:lang w:eastAsia="en-US"/>
        </w:rPr>
        <w:t xml:space="preserve"> </w:t>
      </w:r>
      <w:hyperlink r:id="rId21" w:history="1">
        <w:r w:rsidR="00AB7B25" w:rsidRPr="00AB7B25">
          <w:rPr>
            <w:rStyle w:val="Hyperlink"/>
            <w:color w:val="365F91" w:themeColor="accent1" w:themeShade="BF"/>
            <w:lang w:eastAsia="en-US"/>
          </w:rPr>
          <w:t>Academic Skills Centre</w:t>
        </w:r>
      </w:hyperlink>
      <w:r w:rsidR="007337C7">
        <w:rPr>
          <w:lang w:eastAsia="en-US"/>
        </w:rPr>
        <w:t xml:space="preserve"> </w:t>
      </w:r>
      <w:r w:rsidR="0058459E">
        <w:rPr>
          <w:lang w:eastAsia="en-US"/>
        </w:rPr>
        <w:t xml:space="preserve">(ASC) </w:t>
      </w:r>
      <w:r w:rsidRPr="00126BD8">
        <w:rPr>
          <w:lang w:eastAsia="en-US"/>
        </w:rPr>
        <w:t>about the development of ILOs and the alignment of approaches to teaching, learning</w:t>
      </w:r>
      <w:r w:rsidR="007337C7">
        <w:rPr>
          <w:lang w:eastAsia="en-US"/>
        </w:rPr>
        <w:t xml:space="preserve"> and assessment with the ILOs. </w:t>
      </w:r>
      <w:r w:rsidRPr="00126BD8">
        <w:rPr>
          <w:lang w:eastAsia="en-US"/>
        </w:rPr>
        <w:t>The Higher Education Academy also provides useful resources and toolkits to help with the design of taught provision.</w:t>
      </w:r>
    </w:p>
    <w:p w14:paraId="0A22BE54" w14:textId="77777777" w:rsidR="00126BD8" w:rsidRPr="00126BD8" w:rsidRDefault="00126BD8" w:rsidP="00B96194">
      <w:pPr>
        <w:pStyle w:val="Heading4"/>
      </w:pPr>
      <w:bookmarkStart w:id="11" w:name="_2.4_Drafting_of"/>
      <w:bookmarkEnd w:id="11"/>
      <w:r w:rsidRPr="00126BD8">
        <w:t>2.4 Drafting of the programme documentation</w:t>
      </w:r>
    </w:p>
    <w:p w14:paraId="71EC4F64" w14:textId="5389DDEC" w:rsidR="00126BD8" w:rsidRPr="00126BD8" w:rsidRDefault="00126BD8" w:rsidP="00126BD8">
      <w:pPr>
        <w:rPr>
          <w:lang w:eastAsia="en-US"/>
        </w:rPr>
      </w:pPr>
      <w:r w:rsidRPr="00B96194">
        <w:rPr>
          <w:b/>
          <w:sz w:val="20"/>
          <w:szCs w:val="20"/>
          <w:lang w:eastAsia="en-US"/>
        </w:rPr>
        <w:t>2.4.1</w:t>
      </w:r>
      <w:r w:rsidRPr="00126BD8">
        <w:rPr>
          <w:lang w:eastAsia="en-US"/>
        </w:rPr>
        <w:t xml:space="preserve"> A detailed description of the proposed programme should be prepared using the standard University </w:t>
      </w:r>
      <w:hyperlink r:id="rId22" w:anchor="tab-114128" w:history="1">
        <w:r w:rsidRPr="009740BD">
          <w:rPr>
            <w:rStyle w:val="Hyperlink"/>
            <w:color w:val="365F91" w:themeColor="accent1" w:themeShade="BF"/>
            <w:lang w:eastAsia="en-US"/>
          </w:rPr>
          <w:t>Programme Specification and Supporting Information</w:t>
        </w:r>
        <w:r w:rsidR="00B96194" w:rsidRPr="009740BD">
          <w:rPr>
            <w:rStyle w:val="Hyperlink"/>
            <w:color w:val="365F91" w:themeColor="accent1" w:themeShade="BF"/>
            <w:lang w:eastAsia="en-US"/>
          </w:rPr>
          <w:t xml:space="preserve"> (PSSI) template</w:t>
        </w:r>
      </w:hyperlink>
      <w:r w:rsidR="00B96194">
        <w:rPr>
          <w:lang w:eastAsia="en-US"/>
        </w:rPr>
        <w:t xml:space="preserve">. </w:t>
      </w:r>
      <w:r w:rsidRPr="00126BD8">
        <w:rPr>
          <w:lang w:eastAsia="en-US"/>
        </w:rPr>
        <w:t>There are separate templates for undergraduat</w:t>
      </w:r>
      <w:r w:rsidR="00B96194">
        <w:rPr>
          <w:lang w:eastAsia="en-US"/>
        </w:rPr>
        <w:t xml:space="preserve">e and postgraduate programmes. </w:t>
      </w:r>
      <w:r w:rsidRPr="00126BD8">
        <w:rPr>
          <w:lang w:eastAsia="en-US"/>
        </w:rPr>
        <w:t>The completed template will provide the basis for the definitive programme specification, much of which will b</w:t>
      </w:r>
      <w:r w:rsidR="00B96194">
        <w:rPr>
          <w:lang w:eastAsia="en-US"/>
        </w:rPr>
        <w:t xml:space="preserve">e publicly-facing information. </w:t>
      </w:r>
      <w:r w:rsidRPr="00126BD8">
        <w:rPr>
          <w:lang w:eastAsia="en-US"/>
        </w:rPr>
        <w:t xml:space="preserve">Detailed guidance on how to complete the PSSI is provided in </w:t>
      </w:r>
      <w:r w:rsidRPr="009740BD">
        <w:rPr>
          <w:lang w:eastAsia="en-US"/>
        </w:rPr>
        <w:t>separate guidance documents</w:t>
      </w:r>
      <w:r w:rsidR="00B96194">
        <w:rPr>
          <w:lang w:eastAsia="en-US"/>
        </w:rPr>
        <w:t>. External Relations</w:t>
      </w:r>
      <w:r w:rsidRPr="00126BD8">
        <w:rPr>
          <w:lang w:eastAsia="en-US"/>
        </w:rPr>
        <w:t xml:space="preserve"> require</w:t>
      </w:r>
      <w:r w:rsidR="00B96194">
        <w:rPr>
          <w:lang w:eastAsia="en-US"/>
        </w:rPr>
        <w:t>s</w:t>
      </w:r>
      <w:r w:rsidRPr="00126BD8">
        <w:rPr>
          <w:lang w:eastAsia="en-US"/>
        </w:rPr>
        <w:t xml:space="preserve"> that a separate marketing information form (Update</w:t>
      </w:r>
      <w:r w:rsidR="00B96194">
        <w:rPr>
          <w:lang w:eastAsia="en-US"/>
        </w:rPr>
        <w:t xml:space="preserve"> My Course) is also completed in order to start the promotion of a new programme. </w:t>
      </w:r>
      <w:r w:rsidRPr="00126BD8">
        <w:rPr>
          <w:lang w:eastAsia="en-US"/>
        </w:rPr>
        <w:t>A link to their form is provided in the PSSI templates.</w:t>
      </w:r>
    </w:p>
    <w:p w14:paraId="11AE95FC" w14:textId="77777777" w:rsidR="00126BD8" w:rsidRPr="00126BD8" w:rsidRDefault="00126BD8" w:rsidP="00CC7FB7">
      <w:pPr>
        <w:pStyle w:val="Heading4"/>
      </w:pPr>
      <w:bookmarkStart w:id="12" w:name="_2.5_Initial_discussions"/>
      <w:bookmarkEnd w:id="12"/>
      <w:r w:rsidRPr="00126BD8">
        <w:t>2.5 Initial discussions with Professional Services</w:t>
      </w:r>
    </w:p>
    <w:p w14:paraId="71BC9253" w14:textId="77777777" w:rsidR="00126BD8" w:rsidRPr="00126BD8" w:rsidRDefault="00126BD8" w:rsidP="00126BD8">
      <w:pPr>
        <w:rPr>
          <w:lang w:eastAsia="en-US"/>
        </w:rPr>
      </w:pPr>
      <w:r w:rsidRPr="00CC7FB7">
        <w:rPr>
          <w:b/>
          <w:sz w:val="20"/>
          <w:szCs w:val="20"/>
          <w:lang w:eastAsia="en-US"/>
        </w:rPr>
        <w:t>2.5.1</w:t>
      </w:r>
      <w:r w:rsidRPr="00126BD8">
        <w:rPr>
          <w:lang w:eastAsia="en-US"/>
        </w:rPr>
        <w:t xml:space="preserve"> It is essential that academic staff consult with the following Professional Services during the drafting of any new programme proposal (and prior to the internet posting stage):</w:t>
      </w:r>
    </w:p>
    <w:p w14:paraId="6A4679AE" w14:textId="38734B69" w:rsidR="00126BD8" w:rsidRPr="00126BD8" w:rsidRDefault="00695A23" w:rsidP="00695A23">
      <w:pPr>
        <w:numPr>
          <w:ilvl w:val="0"/>
          <w:numId w:val="29"/>
        </w:numPr>
        <w:ind w:left="714" w:hanging="357"/>
        <w:contextualSpacing/>
        <w:rPr>
          <w:lang w:eastAsia="en-US"/>
        </w:rPr>
      </w:pPr>
      <w:r>
        <w:rPr>
          <w:lang w:eastAsia="en-US"/>
        </w:rPr>
        <w:t xml:space="preserve">External Relations — </w:t>
      </w:r>
      <w:r w:rsidR="00126BD8" w:rsidRPr="00126BD8">
        <w:rPr>
          <w:lang w:eastAsia="en-US"/>
        </w:rPr>
        <w:t xml:space="preserve">to discuss the proposed details relating to </w:t>
      </w:r>
      <w:r>
        <w:rPr>
          <w:lang w:eastAsia="en-US"/>
        </w:rPr>
        <w:t xml:space="preserve">admissions, </w:t>
      </w:r>
      <w:r w:rsidR="00126BD8" w:rsidRPr="00126BD8">
        <w:rPr>
          <w:lang w:eastAsia="en-US"/>
        </w:rPr>
        <w:t>recruitment</w:t>
      </w:r>
      <w:r>
        <w:rPr>
          <w:lang w:eastAsia="en-US"/>
        </w:rPr>
        <w:t xml:space="preserve"> and marketing. Contact</w:t>
      </w:r>
      <w:r w:rsidR="00126BD8" w:rsidRPr="00126BD8">
        <w:rPr>
          <w:lang w:eastAsia="en-US"/>
        </w:rPr>
        <w:t xml:space="preserve">: </w:t>
      </w:r>
      <w:r>
        <w:rPr>
          <w:lang w:eastAsia="en-US"/>
        </w:rPr>
        <w:t>Initial contact should be with the School Marketing Manager</w:t>
      </w:r>
      <w:r w:rsidR="00126BD8" w:rsidRPr="00126BD8">
        <w:rPr>
          <w:lang w:eastAsia="en-US"/>
        </w:rPr>
        <w:t>.</w:t>
      </w:r>
    </w:p>
    <w:p w14:paraId="2CB6E80C" w14:textId="16B898E3" w:rsidR="00126BD8" w:rsidRPr="00126BD8" w:rsidRDefault="00126BD8" w:rsidP="00695A23">
      <w:pPr>
        <w:numPr>
          <w:ilvl w:val="0"/>
          <w:numId w:val="29"/>
        </w:numPr>
        <w:ind w:left="714" w:hanging="357"/>
        <w:contextualSpacing/>
        <w:rPr>
          <w:lang w:eastAsia="en-US"/>
        </w:rPr>
      </w:pPr>
      <w:r w:rsidRPr="00126BD8">
        <w:rPr>
          <w:lang w:eastAsia="en-US"/>
        </w:rPr>
        <w:t xml:space="preserve">The </w:t>
      </w:r>
      <w:r w:rsidR="0058459E">
        <w:rPr>
          <w:lang w:eastAsia="en-US"/>
        </w:rPr>
        <w:t>LLC</w:t>
      </w:r>
      <w:r w:rsidR="00695A23">
        <w:rPr>
          <w:lang w:eastAsia="en-US"/>
        </w:rPr>
        <w:t xml:space="preserve"> </w:t>
      </w:r>
      <w:r w:rsidRPr="00126BD8">
        <w:rPr>
          <w:lang w:eastAsia="en-US"/>
        </w:rPr>
        <w:t>—</w:t>
      </w:r>
      <w:r w:rsidR="00695A23">
        <w:rPr>
          <w:lang w:eastAsia="en-US"/>
        </w:rPr>
        <w:t xml:space="preserve"> </w:t>
      </w:r>
      <w:r w:rsidRPr="00126BD8">
        <w:rPr>
          <w:lang w:eastAsia="en-US"/>
        </w:rPr>
        <w:t xml:space="preserve">to discuss the required library resources (e.g. learning support material, teaching input to support the development of digital literacies, proposed use of the VLE and </w:t>
      </w:r>
      <w:r w:rsidR="00695A23">
        <w:rPr>
          <w:lang w:eastAsia="en-US"/>
        </w:rPr>
        <w:t xml:space="preserve">technology enhanced learning). </w:t>
      </w:r>
      <w:r w:rsidRPr="00126BD8">
        <w:rPr>
          <w:lang w:eastAsia="en-US"/>
        </w:rPr>
        <w:t xml:space="preserve">Contacts: The relevant </w:t>
      </w:r>
      <w:hyperlink r:id="rId23" w:history="1">
        <w:r w:rsidRPr="00695A23">
          <w:rPr>
            <w:rStyle w:val="Hyperlink"/>
            <w:color w:val="365F91" w:themeColor="accent1" w:themeShade="BF"/>
            <w:lang w:eastAsia="en-US"/>
          </w:rPr>
          <w:t>Library Liaison Manager</w:t>
        </w:r>
      </w:hyperlink>
      <w:r w:rsidRPr="00126BD8">
        <w:rPr>
          <w:lang w:eastAsia="en-US"/>
        </w:rPr>
        <w:t xml:space="preserve"> and the Head of the </w:t>
      </w:r>
      <w:hyperlink r:id="rId24" w:history="1">
        <w:r w:rsidRPr="00695A23">
          <w:rPr>
            <w:rStyle w:val="Hyperlink"/>
            <w:color w:val="365F91" w:themeColor="accent1" w:themeShade="BF"/>
            <w:lang w:eastAsia="en-US"/>
          </w:rPr>
          <w:t>Centre for Technology and Innovation in Learning</w:t>
        </w:r>
      </w:hyperlink>
      <w:r w:rsidRPr="00126BD8">
        <w:rPr>
          <w:lang w:eastAsia="en-US"/>
        </w:rPr>
        <w:t>.</w:t>
      </w:r>
    </w:p>
    <w:p w14:paraId="7FF0D40B" w14:textId="2BBEA8D9" w:rsidR="00126BD8" w:rsidRPr="00126BD8" w:rsidRDefault="00126BD8" w:rsidP="00695A23">
      <w:pPr>
        <w:numPr>
          <w:ilvl w:val="0"/>
          <w:numId w:val="29"/>
        </w:numPr>
        <w:ind w:left="714" w:hanging="357"/>
        <w:contextualSpacing/>
        <w:rPr>
          <w:lang w:eastAsia="en-US"/>
        </w:rPr>
      </w:pPr>
      <w:r w:rsidRPr="00126BD8">
        <w:rPr>
          <w:lang w:eastAsia="en-US"/>
        </w:rPr>
        <w:t>The Registry</w:t>
      </w:r>
      <w:r w:rsidR="00695A23">
        <w:rPr>
          <w:lang w:eastAsia="en-US"/>
        </w:rPr>
        <w:t xml:space="preserve"> </w:t>
      </w:r>
      <w:r w:rsidRPr="00126BD8">
        <w:rPr>
          <w:lang w:eastAsia="en-US"/>
        </w:rPr>
        <w:t>—</w:t>
      </w:r>
      <w:r w:rsidR="00695A23">
        <w:rPr>
          <w:lang w:eastAsia="en-US"/>
        </w:rPr>
        <w:t xml:space="preserve"> </w:t>
      </w:r>
      <w:r w:rsidRPr="00126BD8">
        <w:rPr>
          <w:lang w:eastAsia="en-US"/>
        </w:rPr>
        <w:t>to discuss timetabling requirements and, where relevant, requir</w:t>
      </w:r>
      <w:r w:rsidR="00695A23">
        <w:rPr>
          <w:lang w:eastAsia="en-US"/>
        </w:rPr>
        <w:t>ements for formal examinations.</w:t>
      </w:r>
      <w:r w:rsidRPr="00126BD8">
        <w:rPr>
          <w:lang w:eastAsia="en-US"/>
        </w:rPr>
        <w:t xml:space="preserve"> Contacts: see the </w:t>
      </w:r>
      <w:hyperlink r:id="rId25" w:history="1">
        <w:r w:rsidRPr="00695A23">
          <w:rPr>
            <w:rStyle w:val="Hyperlink"/>
            <w:color w:val="365F91" w:themeColor="accent1" w:themeShade="BF"/>
            <w:lang w:eastAsia="en-US"/>
          </w:rPr>
          <w:t>Directory of Registry Staff</w:t>
        </w:r>
      </w:hyperlink>
      <w:r w:rsidRPr="00126BD8">
        <w:rPr>
          <w:lang w:eastAsia="en-US"/>
        </w:rPr>
        <w:t xml:space="preserve"> (</w:t>
      </w:r>
      <w:hyperlink r:id="rId26" w:history="1">
        <w:r w:rsidRPr="00695A23">
          <w:rPr>
            <w:rStyle w:val="Hyperlink"/>
            <w:color w:val="365F91" w:themeColor="accent1" w:themeShade="BF"/>
            <w:lang w:eastAsia="en-US"/>
          </w:rPr>
          <w:t>registry@dundee.ac.uk</w:t>
        </w:r>
      </w:hyperlink>
      <w:r w:rsidRPr="00126BD8">
        <w:rPr>
          <w:lang w:eastAsia="en-US"/>
        </w:rPr>
        <w:t>).</w:t>
      </w:r>
    </w:p>
    <w:p w14:paraId="5503B955" w14:textId="3FF52B43" w:rsidR="00126BD8" w:rsidRPr="00126BD8" w:rsidRDefault="002735B2" w:rsidP="00126BD8">
      <w:pPr>
        <w:numPr>
          <w:ilvl w:val="0"/>
          <w:numId w:val="29"/>
        </w:numPr>
        <w:rPr>
          <w:lang w:eastAsia="en-US"/>
        </w:rPr>
      </w:pPr>
      <w:r>
        <w:rPr>
          <w:lang w:eastAsia="en-US"/>
        </w:rPr>
        <w:t xml:space="preserve">The </w:t>
      </w:r>
      <w:r w:rsidR="006B04D8">
        <w:rPr>
          <w:lang w:eastAsia="en-US"/>
        </w:rPr>
        <w:t>ASC</w:t>
      </w:r>
      <w:r w:rsidR="00695A23">
        <w:rPr>
          <w:lang w:eastAsia="en-US"/>
        </w:rPr>
        <w:t xml:space="preserve"> </w:t>
      </w:r>
      <w:r w:rsidR="00126BD8" w:rsidRPr="00126BD8">
        <w:rPr>
          <w:lang w:eastAsia="en-US"/>
        </w:rPr>
        <w:t>—</w:t>
      </w:r>
      <w:r w:rsidR="00695A23">
        <w:rPr>
          <w:lang w:eastAsia="en-US"/>
        </w:rPr>
        <w:t xml:space="preserve"> </w:t>
      </w:r>
      <w:r w:rsidR="00126BD8" w:rsidRPr="00126BD8">
        <w:rPr>
          <w:lang w:eastAsia="en-US"/>
        </w:rPr>
        <w:t>for support (where necessary) with alignment of the curriculum and its ILOs, teaching methods and assessment tasks, and to discuss requirements for academic skills support and staff development opportunities.</w:t>
      </w:r>
    </w:p>
    <w:p w14:paraId="0AE9DE27" w14:textId="77777777" w:rsidR="00126BD8" w:rsidRPr="00126BD8" w:rsidRDefault="00126BD8" w:rsidP="0031247F">
      <w:pPr>
        <w:pStyle w:val="Heading4"/>
      </w:pPr>
      <w:bookmarkStart w:id="13" w:name="_2.6_Scrutiny_of"/>
      <w:bookmarkEnd w:id="13"/>
      <w:r w:rsidRPr="00126BD8">
        <w:t>2.6 Scrutiny of the draft programme documentation by a Panel of Assessors</w:t>
      </w:r>
    </w:p>
    <w:p w14:paraId="48FC43B4" w14:textId="0E588127" w:rsidR="00126BD8" w:rsidRPr="00126BD8" w:rsidRDefault="00126BD8" w:rsidP="00126BD8">
      <w:pPr>
        <w:rPr>
          <w:lang w:eastAsia="en-US"/>
        </w:rPr>
      </w:pPr>
      <w:r w:rsidRPr="0031247F">
        <w:rPr>
          <w:b/>
          <w:sz w:val="20"/>
          <w:szCs w:val="20"/>
          <w:lang w:eastAsia="en-US"/>
        </w:rPr>
        <w:t>2.6.1</w:t>
      </w:r>
      <w:r w:rsidRPr="00126BD8">
        <w:rPr>
          <w:lang w:eastAsia="en-US"/>
        </w:rPr>
        <w:t xml:space="preserve"> Part of the development of a new programme should involve the detailed scrutiny of the pro</w:t>
      </w:r>
      <w:r w:rsidR="0031247F">
        <w:rPr>
          <w:lang w:eastAsia="en-US"/>
        </w:rPr>
        <w:t xml:space="preserve">posal by a Panel of Assessors. </w:t>
      </w:r>
      <w:r w:rsidRPr="00126BD8">
        <w:rPr>
          <w:lang w:eastAsia="en-US"/>
        </w:rPr>
        <w:t xml:space="preserve">This should normally take the form of a face-to-face event where details can </w:t>
      </w:r>
      <w:r w:rsidRPr="00126BD8">
        <w:rPr>
          <w:lang w:eastAsia="en-US"/>
        </w:rPr>
        <w:lastRenderedPageBreak/>
        <w:t>be discussed and clarified with senior managers of the School, the programme t</w:t>
      </w:r>
      <w:r w:rsidR="0031247F">
        <w:rPr>
          <w:lang w:eastAsia="en-US"/>
        </w:rPr>
        <w:t xml:space="preserve">eam and School administrators. </w:t>
      </w:r>
      <w:r w:rsidRPr="00126BD8">
        <w:rPr>
          <w:lang w:eastAsia="en-US"/>
        </w:rPr>
        <w:t>Scrutiny by a Panel of Assessors provides objectivity and externality, and the Panel has the authority to stipulate conditions and make suggestions which should be addressed prior to the formal consideration of the programme documentation by the relevant School committees.</w:t>
      </w:r>
    </w:p>
    <w:p w14:paraId="10BE1973" w14:textId="595200C8" w:rsidR="00126BD8" w:rsidRPr="00126BD8" w:rsidRDefault="00126BD8" w:rsidP="00126BD8">
      <w:pPr>
        <w:rPr>
          <w:lang w:eastAsia="en-US"/>
        </w:rPr>
      </w:pPr>
      <w:r w:rsidRPr="008E0615">
        <w:rPr>
          <w:b/>
          <w:sz w:val="20"/>
          <w:szCs w:val="20"/>
          <w:lang w:eastAsia="en-US"/>
        </w:rPr>
        <w:t>2.6.2</w:t>
      </w:r>
      <w:r w:rsidRPr="00126BD8">
        <w:rPr>
          <w:lang w:eastAsia="en-US"/>
        </w:rPr>
        <w:t xml:space="preserve"> The Panel of Assessors should normally comprise the following members:</w:t>
      </w:r>
    </w:p>
    <w:tbl>
      <w:tblPr>
        <w:tblStyle w:val="TableGrid"/>
        <w:tblW w:w="84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683"/>
        <w:gridCol w:w="4789"/>
      </w:tblGrid>
      <w:tr w:rsidR="00126BD8" w:rsidRPr="00126BD8" w14:paraId="6ABCF955"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67E30813" w14:textId="77777777"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1. A convener.</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0BB99CB1" w14:textId="003C23D0" w:rsidR="00126BD8" w:rsidRPr="00126BD8" w:rsidRDefault="0031247F" w:rsidP="003150A5">
            <w:pPr>
              <w:spacing w:after="80"/>
              <w:jc w:val="left"/>
              <w:rPr>
                <w:rFonts w:ascii="Calibri" w:hAnsi="Calibri"/>
                <w:sz w:val="22"/>
                <w:lang w:eastAsia="en-US"/>
              </w:rPr>
            </w:pPr>
            <w:r>
              <w:rPr>
                <w:rFonts w:ascii="Calibri" w:hAnsi="Calibri"/>
                <w:sz w:val="22"/>
                <w:lang w:eastAsia="en-US"/>
              </w:rPr>
              <w:t>An</w:t>
            </w:r>
            <w:r w:rsidR="00126BD8" w:rsidRPr="00126BD8">
              <w:rPr>
                <w:rFonts w:ascii="Calibri" w:hAnsi="Calibri"/>
                <w:sz w:val="22"/>
                <w:lang w:eastAsia="en-US"/>
              </w:rPr>
              <w:t xml:space="preserve"> Associate Dean (Qu</w:t>
            </w:r>
            <w:r w:rsidR="00D872B9">
              <w:rPr>
                <w:rFonts w:ascii="Calibri" w:hAnsi="Calibri"/>
                <w:sz w:val="22"/>
                <w:lang w:eastAsia="en-US"/>
              </w:rPr>
              <w:t xml:space="preserve">ality and Academic Standards) from a separate discipline to </w:t>
            </w:r>
            <w:r w:rsidR="008E0615">
              <w:rPr>
                <w:rFonts w:ascii="Calibri" w:hAnsi="Calibri"/>
                <w:sz w:val="22"/>
                <w:lang w:eastAsia="en-US"/>
              </w:rPr>
              <w:t>that of</w:t>
            </w:r>
            <w:r w:rsidR="00D872B9">
              <w:rPr>
                <w:rFonts w:ascii="Calibri" w:hAnsi="Calibri"/>
                <w:sz w:val="22"/>
                <w:lang w:eastAsia="en-US"/>
              </w:rPr>
              <w:t xml:space="preserve"> the proposed new programme</w:t>
            </w:r>
            <w:r w:rsidR="008E0615">
              <w:rPr>
                <w:rFonts w:ascii="Calibri" w:hAnsi="Calibri"/>
                <w:sz w:val="22"/>
                <w:lang w:eastAsia="en-US"/>
              </w:rPr>
              <w:t>, and ideally from a different School.</w:t>
            </w:r>
          </w:p>
        </w:tc>
      </w:tr>
      <w:tr w:rsidR="00126BD8" w:rsidRPr="00126BD8" w14:paraId="1333F590"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6EB61335" w14:textId="77777777"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2. Two experienced members of academic staff from a different School.</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5A0BD695" w14:textId="77777777"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If the proposed programme is to be delivered, wholly or in part, in blended or distance learning modes the Panel of Assessors must include an academic who has knowledge and experience of distance learning.</w:t>
            </w:r>
          </w:p>
        </w:tc>
      </w:tr>
      <w:tr w:rsidR="00126BD8" w:rsidRPr="00126BD8" w14:paraId="0A1AB167"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4B604A36" w14:textId="69454FC4"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3. A student representative, nominated by the President or </w:t>
            </w:r>
            <w:r w:rsidR="008E0615">
              <w:rPr>
                <w:rFonts w:ascii="Calibri" w:hAnsi="Calibri"/>
                <w:sz w:val="22"/>
                <w:lang w:eastAsia="en-US"/>
              </w:rPr>
              <w:t>Vice-President for Academia</w:t>
            </w:r>
            <w:r w:rsidRPr="00126BD8">
              <w:rPr>
                <w:rFonts w:ascii="Calibri" w:hAnsi="Calibri"/>
                <w:sz w:val="22"/>
                <w:lang w:eastAsia="en-US"/>
              </w:rPr>
              <w:t xml:space="preserve"> of the Dundee University Students' Association (DUSA).</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480BDC99" w14:textId="19D44BBC"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This would normally be a member of the DUSA Executive who has received training and guidance from the University’s </w:t>
            </w:r>
            <w:r w:rsidR="008E0615">
              <w:rPr>
                <w:rFonts w:ascii="Calibri" w:hAnsi="Calibri"/>
                <w:sz w:val="22"/>
                <w:lang w:eastAsia="en-US"/>
              </w:rPr>
              <w:t>QAS</w:t>
            </w:r>
            <w:r w:rsidRPr="00126BD8">
              <w:rPr>
                <w:rFonts w:ascii="Calibri" w:hAnsi="Calibri"/>
                <w:sz w:val="22"/>
                <w:lang w:eastAsia="en-US"/>
              </w:rPr>
              <w:t xml:space="preserve"> </w:t>
            </w:r>
            <w:r w:rsidR="008E0615">
              <w:rPr>
                <w:rFonts w:ascii="Calibri" w:hAnsi="Calibri"/>
                <w:sz w:val="22"/>
                <w:lang w:eastAsia="en-US"/>
              </w:rPr>
              <w:t>office</w:t>
            </w:r>
            <w:r w:rsidRPr="00126BD8">
              <w:rPr>
                <w:rFonts w:ascii="Calibri" w:hAnsi="Calibri"/>
                <w:sz w:val="22"/>
                <w:lang w:eastAsia="en-US"/>
              </w:rPr>
              <w:t>.</w:t>
            </w:r>
          </w:p>
        </w:tc>
      </w:tr>
      <w:tr w:rsidR="00126BD8" w:rsidRPr="00126BD8" w14:paraId="7DD6A73B"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3D146B66" w14:textId="717A788F" w:rsidR="00126BD8" w:rsidRPr="00126BD8" w:rsidRDefault="002735B2" w:rsidP="003150A5">
            <w:pPr>
              <w:spacing w:after="80"/>
              <w:jc w:val="left"/>
              <w:rPr>
                <w:rFonts w:ascii="Calibri" w:hAnsi="Calibri"/>
                <w:sz w:val="22"/>
                <w:lang w:eastAsia="en-US"/>
              </w:rPr>
            </w:pPr>
            <w:r>
              <w:rPr>
                <w:rFonts w:ascii="Calibri" w:hAnsi="Calibri"/>
                <w:sz w:val="22"/>
                <w:lang w:eastAsia="en-US"/>
              </w:rPr>
              <w:t xml:space="preserve">4. A representative from the </w:t>
            </w:r>
            <w:r w:rsidR="0058459E">
              <w:rPr>
                <w:rFonts w:ascii="Calibri" w:hAnsi="Calibri"/>
                <w:sz w:val="22"/>
                <w:lang w:eastAsia="en-US"/>
              </w:rPr>
              <w:t>LLC</w:t>
            </w:r>
            <w:r w:rsidR="00126BD8" w:rsidRPr="00126BD8">
              <w:rPr>
                <w:rFonts w:ascii="Calibri" w:hAnsi="Calibri"/>
                <w:sz w:val="22"/>
                <w:lang w:eastAsia="en-US"/>
              </w:rPr>
              <w:t>.</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5368FD9F" w14:textId="4C969F07"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If the proposed programme is to be delivered, wholly or in part, in blended or distance learning modes the Panel of Assessors must include a representative from </w:t>
            </w:r>
            <w:r w:rsidR="0058459E">
              <w:rPr>
                <w:rFonts w:ascii="Calibri" w:hAnsi="Calibri"/>
                <w:sz w:val="22"/>
                <w:lang w:eastAsia="en-US"/>
              </w:rPr>
              <w:t>CTIL</w:t>
            </w:r>
            <w:r w:rsidR="005B00B7">
              <w:rPr>
                <w:rFonts w:ascii="Calibri" w:hAnsi="Calibri"/>
                <w:sz w:val="22"/>
                <w:lang w:eastAsia="en-US"/>
              </w:rPr>
              <w:t xml:space="preserve">. </w:t>
            </w:r>
            <w:r w:rsidRPr="00126BD8">
              <w:rPr>
                <w:rFonts w:ascii="Calibri" w:hAnsi="Calibri"/>
                <w:sz w:val="22"/>
                <w:lang w:eastAsia="en-US"/>
              </w:rPr>
              <w:t xml:space="preserve">If </w:t>
            </w:r>
            <w:proofErr w:type="gramStart"/>
            <w:r w:rsidR="0058459E">
              <w:rPr>
                <w:rFonts w:ascii="Calibri" w:hAnsi="Calibri"/>
                <w:sz w:val="22"/>
                <w:lang w:eastAsia="en-US"/>
              </w:rPr>
              <w:t>a</w:t>
            </w:r>
            <w:proofErr w:type="gramEnd"/>
            <w:r w:rsidR="0058459E">
              <w:rPr>
                <w:rFonts w:ascii="Calibri" w:hAnsi="Calibri"/>
                <w:sz w:val="22"/>
                <w:lang w:eastAsia="en-US"/>
              </w:rPr>
              <w:t xml:space="preserve"> LLC</w:t>
            </w:r>
            <w:r w:rsidRPr="00126BD8">
              <w:rPr>
                <w:rFonts w:ascii="Calibri" w:hAnsi="Calibri"/>
                <w:sz w:val="22"/>
                <w:lang w:eastAsia="en-US"/>
              </w:rPr>
              <w:t xml:space="preserve"> representative is unable to attend the scrutiny event, their written comments on the programme documentation should be considered by the Panel at the event.</w:t>
            </w:r>
          </w:p>
        </w:tc>
      </w:tr>
      <w:tr w:rsidR="00126BD8" w:rsidRPr="00126BD8" w14:paraId="262209A0"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DA86E8" w14:textId="45F8F50C"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5. A representative from </w:t>
            </w:r>
            <w:r w:rsidR="00FE648C">
              <w:rPr>
                <w:rFonts w:ascii="Calibri" w:hAnsi="Calibri"/>
                <w:sz w:val="22"/>
                <w:lang w:eastAsia="en-US"/>
              </w:rPr>
              <w:t xml:space="preserve">the </w:t>
            </w:r>
            <w:r w:rsidR="0058459E">
              <w:rPr>
                <w:rFonts w:ascii="Calibri" w:hAnsi="Calibri"/>
                <w:sz w:val="22"/>
                <w:lang w:eastAsia="en-US"/>
              </w:rPr>
              <w:t>ASC</w:t>
            </w:r>
            <w:r w:rsidR="00FE648C">
              <w:rPr>
                <w:rFonts w:ascii="Calibri" w:hAnsi="Calibri"/>
                <w:sz w:val="22"/>
                <w:lang w:eastAsia="en-US"/>
              </w:rPr>
              <w:t>/Careers/EIS hub</w:t>
            </w:r>
            <w:r w:rsidRPr="00126BD8">
              <w:rPr>
                <w:rFonts w:ascii="Calibri" w:hAnsi="Calibri"/>
                <w:sz w:val="22"/>
                <w:lang w:eastAsia="en-US"/>
              </w:rPr>
              <w:t>.</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765185" w14:textId="065BDF05"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The </w:t>
            </w:r>
            <w:r w:rsidR="0058459E">
              <w:rPr>
                <w:rFonts w:ascii="Calibri" w:hAnsi="Calibri"/>
                <w:sz w:val="22"/>
                <w:lang w:eastAsia="en-US"/>
              </w:rPr>
              <w:t>ASC</w:t>
            </w:r>
            <w:r w:rsidR="00FE648C">
              <w:rPr>
                <w:rFonts w:ascii="Calibri" w:hAnsi="Calibri"/>
                <w:sz w:val="22"/>
                <w:lang w:eastAsia="en-US"/>
              </w:rPr>
              <w:t xml:space="preserve">/Careers/EIS </w:t>
            </w:r>
            <w:r w:rsidRPr="00126BD8">
              <w:rPr>
                <w:rFonts w:ascii="Calibri" w:hAnsi="Calibri"/>
                <w:sz w:val="22"/>
                <w:lang w:eastAsia="en-US"/>
              </w:rPr>
              <w:t>representative will consider aspects of quality enhancement relating to academic skills, learning</w:t>
            </w:r>
            <w:r w:rsidR="00FE648C">
              <w:rPr>
                <w:rFonts w:ascii="Calibri" w:hAnsi="Calibri"/>
                <w:sz w:val="22"/>
                <w:lang w:eastAsia="en-US"/>
              </w:rPr>
              <w:t xml:space="preserve">, teaching, and employability. </w:t>
            </w:r>
            <w:r w:rsidRPr="00126BD8">
              <w:rPr>
                <w:rFonts w:ascii="Calibri" w:hAnsi="Calibri"/>
                <w:sz w:val="22"/>
                <w:lang w:eastAsia="en-US"/>
              </w:rPr>
              <w:t xml:space="preserve">If </w:t>
            </w:r>
            <w:r w:rsidR="0058459E">
              <w:rPr>
                <w:rFonts w:ascii="Calibri" w:hAnsi="Calibri"/>
                <w:sz w:val="22"/>
                <w:lang w:eastAsia="en-US"/>
              </w:rPr>
              <w:t>a</w:t>
            </w:r>
            <w:r w:rsidRPr="00126BD8">
              <w:rPr>
                <w:rFonts w:ascii="Calibri" w:hAnsi="Calibri"/>
                <w:sz w:val="22"/>
                <w:lang w:eastAsia="en-US"/>
              </w:rPr>
              <w:t xml:space="preserve"> </w:t>
            </w:r>
            <w:r w:rsidR="0058459E">
              <w:rPr>
                <w:rFonts w:ascii="Calibri" w:hAnsi="Calibri"/>
                <w:sz w:val="22"/>
                <w:lang w:eastAsia="en-US"/>
              </w:rPr>
              <w:t>representative from the ASC</w:t>
            </w:r>
            <w:r w:rsidR="00FE648C">
              <w:rPr>
                <w:rFonts w:ascii="Calibri" w:hAnsi="Calibri"/>
                <w:sz w:val="22"/>
                <w:lang w:eastAsia="en-US"/>
              </w:rPr>
              <w:t>/Careers/EIS</w:t>
            </w:r>
            <w:r w:rsidRPr="00126BD8">
              <w:rPr>
                <w:rFonts w:ascii="Calibri" w:hAnsi="Calibri"/>
                <w:sz w:val="22"/>
                <w:lang w:eastAsia="en-US"/>
              </w:rPr>
              <w:t xml:space="preserve"> </w:t>
            </w:r>
            <w:r w:rsidR="0058459E">
              <w:rPr>
                <w:rFonts w:ascii="Calibri" w:hAnsi="Calibri"/>
                <w:sz w:val="22"/>
                <w:lang w:eastAsia="en-US"/>
              </w:rPr>
              <w:t>hub</w:t>
            </w:r>
            <w:r w:rsidRPr="00126BD8">
              <w:rPr>
                <w:rFonts w:ascii="Calibri" w:hAnsi="Calibri"/>
                <w:sz w:val="22"/>
                <w:lang w:eastAsia="en-US"/>
              </w:rPr>
              <w:t xml:space="preserve"> is unable to attend the scrutiny event, their written comments on the programme documentation should be considered by the Panel at the event.</w:t>
            </w:r>
          </w:p>
        </w:tc>
      </w:tr>
      <w:tr w:rsidR="00126BD8" w:rsidRPr="00126BD8" w14:paraId="02257F95"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D7FC58" w14:textId="3A60536A"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6. A representative from </w:t>
            </w:r>
            <w:r w:rsidR="00FE648C">
              <w:rPr>
                <w:rFonts w:ascii="Calibri" w:hAnsi="Calibri"/>
                <w:sz w:val="22"/>
                <w:lang w:eastAsia="en-US"/>
              </w:rPr>
              <w:t>External Relations</w:t>
            </w:r>
            <w:r w:rsidRPr="00126BD8">
              <w:rPr>
                <w:rFonts w:ascii="Calibri" w:hAnsi="Calibri"/>
                <w:sz w:val="22"/>
                <w:lang w:eastAsia="en-US"/>
              </w:rPr>
              <w:t>.</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2F87ECE" w14:textId="2CB696D7"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 xml:space="preserve">The </w:t>
            </w:r>
            <w:r w:rsidR="00FE648C">
              <w:rPr>
                <w:rFonts w:ascii="Calibri" w:hAnsi="Calibri"/>
                <w:sz w:val="22"/>
                <w:lang w:eastAsia="en-US"/>
              </w:rPr>
              <w:t>External Relations</w:t>
            </w:r>
            <w:r w:rsidRPr="00126BD8">
              <w:rPr>
                <w:rFonts w:ascii="Calibri" w:hAnsi="Calibri"/>
                <w:sz w:val="22"/>
                <w:lang w:eastAsia="en-US"/>
              </w:rPr>
              <w:t xml:space="preserve"> representative will consider the public-facing information and the details concerning stu</w:t>
            </w:r>
            <w:r w:rsidR="00FE648C">
              <w:rPr>
                <w:rFonts w:ascii="Calibri" w:hAnsi="Calibri"/>
                <w:sz w:val="22"/>
                <w:lang w:eastAsia="en-US"/>
              </w:rPr>
              <w:t>dent recruitment and admission.</w:t>
            </w:r>
            <w:r w:rsidRPr="00126BD8">
              <w:rPr>
                <w:rFonts w:ascii="Calibri" w:hAnsi="Calibri"/>
                <w:sz w:val="22"/>
                <w:lang w:eastAsia="en-US"/>
              </w:rPr>
              <w:t xml:space="preserve"> If </w:t>
            </w:r>
            <w:r w:rsidR="0058459E">
              <w:rPr>
                <w:rFonts w:ascii="Calibri" w:hAnsi="Calibri"/>
                <w:sz w:val="22"/>
                <w:lang w:eastAsia="en-US"/>
              </w:rPr>
              <w:t>an</w:t>
            </w:r>
            <w:r w:rsidRPr="00126BD8">
              <w:rPr>
                <w:rFonts w:ascii="Calibri" w:hAnsi="Calibri"/>
                <w:sz w:val="22"/>
                <w:lang w:eastAsia="en-US"/>
              </w:rPr>
              <w:t xml:space="preserve"> </w:t>
            </w:r>
            <w:r w:rsidR="00FE648C">
              <w:rPr>
                <w:rFonts w:ascii="Calibri" w:hAnsi="Calibri"/>
                <w:sz w:val="22"/>
                <w:lang w:eastAsia="en-US"/>
              </w:rPr>
              <w:t>External Relations</w:t>
            </w:r>
            <w:r w:rsidRPr="00126BD8">
              <w:rPr>
                <w:rFonts w:ascii="Calibri" w:hAnsi="Calibri"/>
                <w:sz w:val="22"/>
                <w:lang w:eastAsia="en-US"/>
              </w:rPr>
              <w:t xml:space="preserve"> representative is unable to attend the scrutiny event, their written comments on the programme documentation should be considered by the Panel at the event.</w:t>
            </w:r>
          </w:p>
        </w:tc>
      </w:tr>
      <w:tr w:rsidR="00126BD8" w:rsidRPr="00126BD8" w14:paraId="167BB2ED" w14:textId="77777777" w:rsidTr="00D54EC2">
        <w:tc>
          <w:tcPr>
            <w:tcW w:w="368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739C19F8" w14:textId="77777777"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7. A minimum of one external subject expert.</w:t>
            </w:r>
          </w:p>
        </w:tc>
        <w:tc>
          <w:tcPr>
            <w:tcW w:w="478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469D2AB1" w14:textId="244B260D" w:rsidR="00126BD8" w:rsidRPr="00126BD8" w:rsidRDefault="00126BD8" w:rsidP="003150A5">
            <w:pPr>
              <w:spacing w:after="80"/>
              <w:jc w:val="left"/>
              <w:rPr>
                <w:rFonts w:ascii="Calibri" w:hAnsi="Calibri"/>
                <w:sz w:val="22"/>
                <w:lang w:eastAsia="en-US"/>
              </w:rPr>
            </w:pPr>
            <w:r w:rsidRPr="00126BD8">
              <w:rPr>
                <w:rFonts w:ascii="Calibri" w:hAnsi="Calibri"/>
                <w:sz w:val="22"/>
                <w:lang w:eastAsia="en-US"/>
              </w:rPr>
              <w:t>The development of a new programme must be informed by the views of subject exper</w:t>
            </w:r>
            <w:r w:rsidR="00FE648C">
              <w:rPr>
                <w:rFonts w:ascii="Calibri" w:hAnsi="Calibri"/>
                <w:sz w:val="22"/>
                <w:lang w:eastAsia="en-US"/>
              </w:rPr>
              <w:t>ts from outside the University.</w:t>
            </w:r>
            <w:r w:rsidRPr="00126BD8">
              <w:rPr>
                <w:rFonts w:ascii="Calibri" w:hAnsi="Calibri"/>
                <w:sz w:val="22"/>
                <w:lang w:eastAsia="en-US"/>
              </w:rPr>
              <w:t xml:space="preserve"> If the external subject experts are unable to attend the scrutiny event, their written comments on the programme documentation should be considered by the Panel at the scrutiny event.</w:t>
            </w:r>
          </w:p>
        </w:tc>
      </w:tr>
    </w:tbl>
    <w:p w14:paraId="228BF3C8" w14:textId="4E2C103D" w:rsidR="00126BD8" w:rsidRPr="00126BD8" w:rsidRDefault="00126BD8" w:rsidP="00FE648C">
      <w:pPr>
        <w:spacing w:before="120"/>
        <w:rPr>
          <w:lang w:eastAsia="en-US"/>
        </w:rPr>
      </w:pPr>
      <w:r w:rsidRPr="00FE648C">
        <w:rPr>
          <w:b/>
          <w:sz w:val="20"/>
          <w:szCs w:val="20"/>
          <w:lang w:eastAsia="en-US"/>
        </w:rPr>
        <w:lastRenderedPageBreak/>
        <w:t>2.6.3</w:t>
      </w:r>
      <w:r w:rsidRPr="00126BD8">
        <w:rPr>
          <w:lang w:eastAsia="en-US"/>
        </w:rPr>
        <w:t xml:space="preserve"> It is the responsibility of the lead School’s Associate Dean (Quality and Academic Standards) to decide on the composition o</w:t>
      </w:r>
      <w:r w:rsidR="00FE648C">
        <w:rPr>
          <w:lang w:eastAsia="en-US"/>
        </w:rPr>
        <w:t xml:space="preserve">f the Panel of Assessors. </w:t>
      </w:r>
      <w:r w:rsidRPr="00126BD8">
        <w:rPr>
          <w:lang w:eastAsia="en-US"/>
        </w:rPr>
        <w:t>Whilst written comments and questions from Professional Services panel members are acceptable, it is essential that at least one member of Professional Services is present at the scrutiny event.</w:t>
      </w:r>
    </w:p>
    <w:p w14:paraId="6E1416A5" w14:textId="6590DED7" w:rsidR="00126BD8" w:rsidRPr="00126BD8" w:rsidRDefault="00126BD8" w:rsidP="00126BD8">
      <w:pPr>
        <w:rPr>
          <w:lang w:eastAsia="en-US"/>
        </w:rPr>
      </w:pPr>
      <w:r w:rsidRPr="007B126E">
        <w:rPr>
          <w:b/>
          <w:sz w:val="20"/>
          <w:szCs w:val="20"/>
          <w:lang w:eastAsia="en-US"/>
        </w:rPr>
        <w:t>2.6.4</w:t>
      </w:r>
      <w:r w:rsidRPr="00126BD8">
        <w:rPr>
          <w:lang w:eastAsia="en-US"/>
        </w:rPr>
        <w:t xml:space="preserve"> The Panel of Assessors must be provided with all of the relevant programme documentation including the proposed PSSI (including the completed </w:t>
      </w:r>
      <w:r w:rsidR="002365D9">
        <w:rPr>
          <w:lang w:eastAsia="en-US"/>
        </w:rPr>
        <w:t>External Relations</w:t>
      </w:r>
      <w:r w:rsidRPr="00126BD8">
        <w:rPr>
          <w:lang w:eastAsia="en-US"/>
        </w:rPr>
        <w:t xml:space="preserve"> ‘Update My Course’ form) and all of the co</w:t>
      </w:r>
      <w:r w:rsidR="002365D9">
        <w:rPr>
          <w:lang w:eastAsia="en-US"/>
        </w:rPr>
        <w:t>mponent module specifications.</w:t>
      </w:r>
      <w:r w:rsidR="0034790B">
        <w:rPr>
          <w:lang w:eastAsia="en-US"/>
        </w:rPr>
        <w:t xml:space="preserve"> </w:t>
      </w:r>
      <w:r w:rsidRPr="00126BD8">
        <w:rPr>
          <w:lang w:eastAsia="en-US"/>
        </w:rPr>
        <w:t>The approved Rationale and Business Case should also be provide</w:t>
      </w:r>
      <w:r w:rsidR="002365D9">
        <w:rPr>
          <w:lang w:eastAsia="en-US"/>
        </w:rPr>
        <w:t xml:space="preserve">d as contextual information. </w:t>
      </w:r>
      <w:r w:rsidRPr="00126BD8">
        <w:rPr>
          <w:lang w:eastAsia="en-US"/>
        </w:rPr>
        <w:t>Where there are commercial sensitivities within the Rationale and Business Case a version with redactions or a summarised version should be provided to the Panel.</w:t>
      </w:r>
    </w:p>
    <w:p w14:paraId="13B5B3BA" w14:textId="77777777" w:rsidR="00126BD8" w:rsidRPr="00126BD8" w:rsidRDefault="00126BD8" w:rsidP="00126BD8">
      <w:pPr>
        <w:rPr>
          <w:lang w:eastAsia="en-US"/>
        </w:rPr>
      </w:pPr>
      <w:r w:rsidRPr="0034790B">
        <w:rPr>
          <w:b/>
          <w:sz w:val="20"/>
          <w:szCs w:val="20"/>
          <w:lang w:eastAsia="en-US"/>
        </w:rPr>
        <w:t>2.6.5</w:t>
      </w:r>
      <w:r w:rsidRPr="00126BD8">
        <w:rPr>
          <w:lang w:eastAsia="en-US"/>
        </w:rPr>
        <w:t xml:space="preserve"> The work of the Panel of Assessors should be supported by the quality manager of the lead School, who will work with the convener of the Panel to ensure appropriate organisation of the scrutiny event and subsequent reporting and management of the outcomes of the event.</w:t>
      </w:r>
    </w:p>
    <w:p w14:paraId="3CBC9CBE" w14:textId="53D757CA" w:rsidR="00126BD8" w:rsidRPr="00126BD8" w:rsidRDefault="00126BD8" w:rsidP="00126BD8">
      <w:pPr>
        <w:rPr>
          <w:lang w:eastAsia="en-US"/>
        </w:rPr>
      </w:pPr>
      <w:r w:rsidRPr="0034790B">
        <w:rPr>
          <w:b/>
          <w:sz w:val="20"/>
          <w:szCs w:val="20"/>
          <w:lang w:eastAsia="en-US"/>
        </w:rPr>
        <w:t>2.6.6</w:t>
      </w:r>
      <w:r w:rsidRPr="00126BD8">
        <w:rPr>
          <w:lang w:eastAsia="en-US"/>
        </w:rPr>
        <w:t xml:space="preserve"> Following the scrutiny event the draft programme documentation should be revised (where necessary) taking into account any conditions or suggestions </w:t>
      </w:r>
      <w:r w:rsidR="0034790B">
        <w:rPr>
          <w:lang w:eastAsia="en-US"/>
        </w:rPr>
        <w:t>made by the Panel of Assessors.</w:t>
      </w:r>
      <w:r w:rsidRPr="00126BD8">
        <w:rPr>
          <w:lang w:eastAsia="en-US"/>
        </w:rPr>
        <w:t xml:space="preserve"> A note of the meeting of the scrutiny event, including the final recommendations, should be recorded by the School quality manger and appended or linked electronically to the draft of the programme documentation to be formally considered by the relevant School committee(s).</w:t>
      </w:r>
    </w:p>
    <w:p w14:paraId="2AD60B61" w14:textId="77777777" w:rsidR="00126BD8" w:rsidRPr="00126BD8" w:rsidRDefault="00126BD8" w:rsidP="0034790B">
      <w:pPr>
        <w:pStyle w:val="Heading4"/>
      </w:pPr>
      <w:bookmarkStart w:id="14" w:name="_2.7_Formative_feedback"/>
      <w:bookmarkEnd w:id="14"/>
      <w:r w:rsidRPr="00126BD8">
        <w:t>2.7 Formative feedback from Schools, Professional Services, DUSA and senior executives</w:t>
      </w:r>
    </w:p>
    <w:p w14:paraId="707F405B" w14:textId="426458B5" w:rsidR="00126BD8" w:rsidRPr="006B04D8" w:rsidRDefault="00126BD8" w:rsidP="00126BD8">
      <w:pPr>
        <w:rPr>
          <w:b/>
          <w:bCs/>
          <w:lang w:eastAsia="en-US"/>
        </w:rPr>
      </w:pPr>
      <w:r w:rsidRPr="0034790B">
        <w:rPr>
          <w:b/>
          <w:sz w:val="20"/>
          <w:szCs w:val="20"/>
          <w:lang w:eastAsia="en-US"/>
        </w:rPr>
        <w:t>2.7.1</w:t>
      </w:r>
      <w:r w:rsidRPr="00126BD8">
        <w:rPr>
          <w:lang w:eastAsia="en-US"/>
        </w:rPr>
        <w:t xml:space="preserve"> Once the programme documentation has been developed to meet any conditions and/or recommendations from the scrutiny event there should be an opportunity for further formative feedback from Schools, Professional Service</w:t>
      </w:r>
      <w:r w:rsidR="005B00B7">
        <w:rPr>
          <w:lang w:eastAsia="en-US"/>
        </w:rPr>
        <w:t xml:space="preserve">s, DUSA and senior executives. </w:t>
      </w:r>
      <w:r w:rsidRPr="00126BD8">
        <w:rPr>
          <w:lang w:eastAsia="en-US"/>
        </w:rPr>
        <w:t>The relevant School quality manager should provide the QAS office with the draft PSSI (revised, as necessary, following feedback from the Panel of Assessors), along with all of the relevant module documentation for wider consultation through posting on</w:t>
      </w:r>
      <w:r w:rsidR="005B00B7">
        <w:rPr>
          <w:lang w:eastAsia="en-US"/>
        </w:rPr>
        <w:t xml:space="preserve"> the University internet site. </w:t>
      </w:r>
      <w:r w:rsidRPr="00126BD8">
        <w:rPr>
          <w:lang w:eastAsia="en-US"/>
        </w:rPr>
        <w:t>The procedures detailed at</w:t>
      </w:r>
      <w:r w:rsidR="006B04D8">
        <w:rPr>
          <w:lang w:eastAsia="en-US"/>
        </w:rPr>
        <w:t xml:space="preserve"> the </w:t>
      </w:r>
      <w:hyperlink r:id="rId27" w:history="1">
        <w:r w:rsidR="006B04D8" w:rsidRPr="006B04D8">
          <w:rPr>
            <w:rStyle w:val="Hyperlink"/>
            <w:bCs/>
            <w:color w:val="365F91" w:themeColor="accent1" w:themeShade="BF"/>
            <w:lang w:eastAsia="en-US"/>
          </w:rPr>
          <w:t>University E-consultation posting process for new taught provision, changes to taught provision and changes to regulations</w:t>
        </w:r>
      </w:hyperlink>
      <w:r w:rsidR="006B04D8" w:rsidRPr="006B04D8">
        <w:rPr>
          <w:bCs/>
          <w:lang w:eastAsia="en-US"/>
        </w:rPr>
        <w:t xml:space="preserve"> </w:t>
      </w:r>
      <w:r w:rsidR="0034790B">
        <w:rPr>
          <w:lang w:eastAsia="en-US"/>
        </w:rPr>
        <w:t xml:space="preserve">should be followed. </w:t>
      </w:r>
      <w:r w:rsidRPr="00126BD8">
        <w:rPr>
          <w:lang w:eastAsia="en-US"/>
        </w:rPr>
        <w:t>The posting process involves notification to key executives in Professional Services and Schools, DUSA and the Vice-Principals.</w:t>
      </w:r>
    </w:p>
    <w:p w14:paraId="5CD4E522" w14:textId="761B1181" w:rsidR="00126BD8" w:rsidRPr="00126BD8" w:rsidRDefault="00126BD8" w:rsidP="00126BD8">
      <w:pPr>
        <w:rPr>
          <w:lang w:eastAsia="en-US"/>
        </w:rPr>
      </w:pPr>
      <w:r w:rsidRPr="0034790B">
        <w:rPr>
          <w:b/>
          <w:sz w:val="20"/>
          <w:szCs w:val="20"/>
          <w:lang w:eastAsia="en-US"/>
        </w:rPr>
        <w:t>2.7.2</w:t>
      </w:r>
      <w:r w:rsidRPr="00126BD8">
        <w:rPr>
          <w:lang w:eastAsia="en-US"/>
        </w:rPr>
        <w:t xml:space="preserve"> The approval documents must be available for consultation for </w:t>
      </w:r>
      <w:r w:rsidR="0034790B">
        <w:rPr>
          <w:lang w:eastAsia="en-US"/>
        </w:rPr>
        <w:t xml:space="preserve">a minimum period of two weeks. </w:t>
      </w:r>
      <w:r w:rsidRPr="00126BD8">
        <w:rPr>
          <w:lang w:eastAsia="en-US"/>
        </w:rPr>
        <w:t>Any member of staff or DUSA may:</w:t>
      </w:r>
    </w:p>
    <w:p w14:paraId="6E672FC7" w14:textId="77777777" w:rsidR="00126BD8" w:rsidRPr="00126BD8" w:rsidRDefault="00126BD8" w:rsidP="0034790B">
      <w:pPr>
        <w:numPr>
          <w:ilvl w:val="0"/>
          <w:numId w:val="28"/>
        </w:numPr>
        <w:ind w:left="714" w:hanging="357"/>
        <w:contextualSpacing/>
        <w:rPr>
          <w:lang w:eastAsia="en-US"/>
        </w:rPr>
      </w:pPr>
      <w:r w:rsidRPr="00126BD8">
        <w:rPr>
          <w:lang w:eastAsia="en-US"/>
        </w:rPr>
        <w:t>discuss any issues with staff who are leading the proposal; and/or</w:t>
      </w:r>
    </w:p>
    <w:p w14:paraId="07A0CAC0" w14:textId="77777777" w:rsidR="00126BD8" w:rsidRPr="00126BD8" w:rsidRDefault="00126BD8" w:rsidP="00126BD8">
      <w:pPr>
        <w:numPr>
          <w:ilvl w:val="0"/>
          <w:numId w:val="28"/>
        </w:numPr>
        <w:rPr>
          <w:lang w:eastAsia="en-US"/>
        </w:rPr>
      </w:pPr>
      <w:r w:rsidRPr="00126BD8">
        <w:rPr>
          <w:lang w:eastAsia="en-US"/>
        </w:rPr>
        <w:t>submit comments on the proposal to the School quality manager.</w:t>
      </w:r>
    </w:p>
    <w:p w14:paraId="3E8ED921" w14:textId="3B321E9D" w:rsidR="00126BD8" w:rsidRPr="00126BD8" w:rsidRDefault="00126BD8" w:rsidP="00126BD8">
      <w:pPr>
        <w:rPr>
          <w:lang w:eastAsia="en-US"/>
        </w:rPr>
      </w:pPr>
      <w:r w:rsidRPr="0034790B">
        <w:rPr>
          <w:b/>
          <w:sz w:val="20"/>
          <w:szCs w:val="20"/>
          <w:lang w:eastAsia="en-US"/>
        </w:rPr>
        <w:t>2.7.3</w:t>
      </w:r>
      <w:r w:rsidRPr="00126BD8">
        <w:rPr>
          <w:lang w:eastAsia="en-US"/>
        </w:rPr>
        <w:t xml:space="preserve"> Members of the e-consultation group are encouraged to consider the draft PSSI and to raise any questions or concerns in order that their formative feedback can inform the formal consideration of the programm</w:t>
      </w:r>
      <w:r w:rsidR="0034790B">
        <w:rPr>
          <w:lang w:eastAsia="en-US"/>
        </w:rPr>
        <w:t xml:space="preserve">e documentation by the School. </w:t>
      </w:r>
      <w:r w:rsidRPr="00126BD8">
        <w:rPr>
          <w:lang w:eastAsia="en-US"/>
        </w:rPr>
        <w:t>The consultation with Schools, Professional Services, DUSA and senior executives through the posting process should therefore take place before the formal consideration of the programme documentation at the level of the relevant School committee(s) (</w:t>
      </w:r>
      <w:r w:rsidR="0034790B">
        <w:rPr>
          <w:lang w:eastAsia="en-US"/>
        </w:rPr>
        <w:t>i.e. the School QASC</w:t>
      </w:r>
      <w:r w:rsidRPr="00126BD8">
        <w:rPr>
          <w:lang w:eastAsia="en-US"/>
        </w:rPr>
        <w:t xml:space="preserve"> and/or the School Board).</w:t>
      </w:r>
    </w:p>
    <w:p w14:paraId="092C955E" w14:textId="77777777" w:rsidR="00126BD8" w:rsidRPr="00126BD8" w:rsidRDefault="00126BD8" w:rsidP="0034790B">
      <w:pPr>
        <w:pStyle w:val="Heading4"/>
      </w:pPr>
      <w:bookmarkStart w:id="15" w:name="_2.8_Formal_consideration"/>
      <w:bookmarkEnd w:id="15"/>
      <w:r w:rsidRPr="00126BD8">
        <w:t>2.8 Formal consideration of the programme documentation by School committee(s)</w:t>
      </w:r>
    </w:p>
    <w:p w14:paraId="0E6AEA7A" w14:textId="519694D8" w:rsidR="00126BD8" w:rsidRPr="00126BD8" w:rsidRDefault="00126BD8" w:rsidP="00126BD8">
      <w:pPr>
        <w:rPr>
          <w:lang w:eastAsia="en-US"/>
        </w:rPr>
      </w:pPr>
      <w:r w:rsidRPr="0034790B">
        <w:rPr>
          <w:b/>
          <w:sz w:val="20"/>
          <w:szCs w:val="20"/>
          <w:lang w:eastAsia="en-US"/>
        </w:rPr>
        <w:t>2.8.1</w:t>
      </w:r>
      <w:r w:rsidRPr="00126BD8">
        <w:rPr>
          <w:lang w:eastAsia="en-US"/>
        </w:rPr>
        <w:t xml:space="preserve"> The revised programme documentation (including the previously-approved Rationale and Business Case, the PSSI and the completed </w:t>
      </w:r>
      <w:r w:rsidR="0034790B">
        <w:rPr>
          <w:lang w:eastAsia="en-US"/>
        </w:rPr>
        <w:t>External Relations</w:t>
      </w:r>
      <w:r w:rsidRPr="00126BD8">
        <w:rPr>
          <w:lang w:eastAsia="en-US"/>
        </w:rPr>
        <w:t xml:space="preserve"> ‘Update My Course’ form), along with a commentary on how the proposal was considered, who was involved and the revisions made as part of the scrutiny and consultation process, should be presented to the relevant School committee(s) (i.e. the </w:t>
      </w:r>
      <w:r w:rsidR="0034790B">
        <w:rPr>
          <w:lang w:eastAsia="en-US"/>
        </w:rPr>
        <w:t>School QASC</w:t>
      </w:r>
      <w:r w:rsidRPr="00126BD8">
        <w:rPr>
          <w:lang w:eastAsia="en-US"/>
        </w:rPr>
        <w:t xml:space="preserve"> and/or the School Board) to request endorsement from the School for approval of the new programme.</w:t>
      </w:r>
    </w:p>
    <w:p w14:paraId="36B20E0E" w14:textId="5C48E092" w:rsidR="00126BD8" w:rsidRPr="00126BD8" w:rsidRDefault="00126BD8" w:rsidP="00126BD8">
      <w:pPr>
        <w:rPr>
          <w:lang w:eastAsia="en-US"/>
        </w:rPr>
      </w:pPr>
      <w:r w:rsidRPr="0034790B">
        <w:rPr>
          <w:b/>
          <w:sz w:val="20"/>
          <w:szCs w:val="20"/>
          <w:lang w:eastAsia="en-US"/>
        </w:rPr>
        <w:lastRenderedPageBreak/>
        <w:t>2.8.2</w:t>
      </w:r>
      <w:r w:rsidRPr="00126BD8">
        <w:rPr>
          <w:lang w:eastAsia="en-US"/>
        </w:rPr>
        <w:t xml:space="preserve"> Once the School(s) has endorsed the proposal for a new programme through its formal committee structures, the endorsed programme documentation along with the Rationale and Business Case should be sent to the QAS office so that formal approval by the QASC can be taken </w:t>
      </w:r>
      <w:r w:rsidR="00644D7A">
        <w:rPr>
          <w:lang w:eastAsia="en-US"/>
        </w:rPr>
        <w:t xml:space="preserve">forward. </w:t>
      </w:r>
      <w:r w:rsidRPr="00126BD8">
        <w:rPr>
          <w:lang w:eastAsia="en-US"/>
        </w:rPr>
        <w:t xml:space="preserve">The programme documentation </w:t>
      </w:r>
      <w:r w:rsidRPr="00126BD8">
        <w:rPr>
          <w:u w:val="single"/>
          <w:lang w:eastAsia="en-US"/>
        </w:rPr>
        <w:t>must</w:t>
      </w:r>
      <w:r w:rsidRPr="00126BD8">
        <w:rPr>
          <w:lang w:eastAsia="en-US"/>
        </w:rPr>
        <w:t xml:space="preserve"> include the PSSI, all of the </w:t>
      </w:r>
      <w:r w:rsidR="00644D7A">
        <w:rPr>
          <w:lang w:eastAsia="en-US"/>
        </w:rPr>
        <w:t>MSSI</w:t>
      </w:r>
      <w:r w:rsidRPr="00126BD8">
        <w:rPr>
          <w:lang w:eastAsia="en-US"/>
        </w:rPr>
        <w:t xml:space="preserve"> documents and the </w:t>
      </w:r>
      <w:r w:rsidR="00644D7A">
        <w:rPr>
          <w:lang w:eastAsia="en-US"/>
        </w:rPr>
        <w:t>External Relations</w:t>
      </w:r>
      <w:r w:rsidRPr="00126BD8">
        <w:rPr>
          <w:lang w:eastAsia="en-US"/>
        </w:rPr>
        <w:t xml:space="preserve"> ‘Update My Course’ form as </w:t>
      </w:r>
      <w:r w:rsidRPr="00126BD8">
        <w:rPr>
          <w:u w:val="single"/>
          <w:lang w:eastAsia="en-US"/>
        </w:rPr>
        <w:t>separate</w:t>
      </w:r>
      <w:r w:rsidR="005B00B7">
        <w:rPr>
          <w:lang w:eastAsia="en-US"/>
        </w:rPr>
        <w:t xml:space="preserve"> Word documents. </w:t>
      </w:r>
      <w:r w:rsidRPr="00126BD8">
        <w:rPr>
          <w:b/>
          <w:lang w:eastAsia="en-US"/>
        </w:rPr>
        <w:t>Composite documents or pdfs (other than the rationale and business case) will not be accepted.</w:t>
      </w:r>
      <w:r w:rsidR="00644D7A">
        <w:rPr>
          <w:lang w:eastAsia="en-US"/>
        </w:rPr>
        <w:t xml:space="preserve"> </w:t>
      </w:r>
      <w:r w:rsidRPr="00126BD8">
        <w:rPr>
          <w:lang w:eastAsia="en-US"/>
        </w:rPr>
        <w:t xml:space="preserve">If there are proposed changes to any existing modules as part of the approval of the new programme the process described in the University </w:t>
      </w:r>
      <w:hyperlink r:id="rId28" w:history="1">
        <w:r w:rsidRPr="008D0C6C">
          <w:rPr>
            <w:rStyle w:val="Hyperlink"/>
            <w:color w:val="365F91" w:themeColor="accent1" w:themeShade="BF"/>
            <w:lang w:eastAsia="en-US"/>
          </w:rPr>
          <w:t>Policy and Guidance on Changes to Taught Provision</w:t>
        </w:r>
      </w:hyperlink>
      <w:r w:rsidRPr="00126BD8">
        <w:rPr>
          <w:lang w:eastAsia="en-US"/>
        </w:rPr>
        <w:t xml:space="preserve"> should be followed.</w:t>
      </w:r>
    </w:p>
    <w:p w14:paraId="67D210B7" w14:textId="77777777" w:rsidR="00126BD8" w:rsidRPr="00126BD8" w:rsidRDefault="00126BD8" w:rsidP="00644D7A">
      <w:pPr>
        <w:pStyle w:val="Heading4"/>
      </w:pPr>
      <w:bookmarkStart w:id="16" w:name="_2.9_Formal_academic"/>
      <w:bookmarkEnd w:id="16"/>
      <w:r w:rsidRPr="00126BD8">
        <w:t>2.9 Formal academic approval of the proposed new taught programme</w:t>
      </w:r>
    </w:p>
    <w:p w14:paraId="00D83053" w14:textId="75CAB312" w:rsidR="00126BD8" w:rsidRPr="00126BD8" w:rsidRDefault="00126BD8" w:rsidP="00126BD8">
      <w:pPr>
        <w:rPr>
          <w:lang w:eastAsia="en-US"/>
        </w:rPr>
      </w:pPr>
      <w:r w:rsidRPr="00644D7A">
        <w:rPr>
          <w:b/>
          <w:sz w:val="20"/>
          <w:szCs w:val="20"/>
          <w:lang w:eastAsia="en-US"/>
        </w:rPr>
        <w:t>2.9.1</w:t>
      </w:r>
      <w:r w:rsidRPr="00126BD8">
        <w:rPr>
          <w:lang w:eastAsia="en-US"/>
        </w:rPr>
        <w:t xml:space="preserve"> The formal academic approval of a new taught programme is the responsibility of the University QASC, acting </w:t>
      </w:r>
      <w:r w:rsidR="00644D7A">
        <w:rPr>
          <w:lang w:eastAsia="en-US"/>
        </w:rPr>
        <w:t xml:space="preserve">on behalf of the Senate. </w:t>
      </w:r>
      <w:r w:rsidRPr="00126BD8">
        <w:rPr>
          <w:lang w:eastAsia="en-US"/>
        </w:rPr>
        <w:t>Following consideration and endorsement by the School(s) the QASC will review the programme documentation and the process through which the School has endorsed the approval of the proposed programme.</w:t>
      </w:r>
    </w:p>
    <w:p w14:paraId="00C28C97" w14:textId="11D9AF8D" w:rsidR="00126BD8" w:rsidRPr="00126BD8" w:rsidRDefault="00126BD8" w:rsidP="00126BD8">
      <w:pPr>
        <w:rPr>
          <w:lang w:eastAsia="en-US"/>
        </w:rPr>
      </w:pPr>
      <w:r w:rsidRPr="00644D7A">
        <w:rPr>
          <w:b/>
          <w:sz w:val="20"/>
          <w:szCs w:val="20"/>
          <w:lang w:eastAsia="en-US"/>
        </w:rPr>
        <w:t>2.9.2</w:t>
      </w:r>
      <w:r w:rsidRPr="00126BD8">
        <w:rPr>
          <w:lang w:eastAsia="en-US"/>
        </w:rPr>
        <w:t xml:space="preserve"> The QASC will make a decision on the approval of new programmes based on the infor</w:t>
      </w:r>
      <w:r w:rsidR="00644D7A">
        <w:rPr>
          <w:lang w:eastAsia="en-US"/>
        </w:rPr>
        <w:t xml:space="preserve">mation provided by the School. </w:t>
      </w:r>
      <w:r w:rsidRPr="00126BD8">
        <w:rPr>
          <w:lang w:eastAsia="en-US"/>
        </w:rPr>
        <w:t>The QASC will not approve a new programme if the programme documentation is unsatisfactory; if the information provided by the School is incomplete; or if the expected processes have not been followed.</w:t>
      </w:r>
    </w:p>
    <w:p w14:paraId="42982551" w14:textId="77777777" w:rsidR="00126BD8" w:rsidRPr="00126BD8" w:rsidRDefault="00126BD8" w:rsidP="00644D7A">
      <w:pPr>
        <w:pStyle w:val="Heading4"/>
      </w:pPr>
      <w:bookmarkStart w:id="17" w:name="_2.10_Launch_and"/>
      <w:bookmarkEnd w:id="17"/>
      <w:r w:rsidRPr="00126BD8">
        <w:t>2.10 Launch and review of the new programme</w:t>
      </w:r>
    </w:p>
    <w:p w14:paraId="61DC7D0F" w14:textId="7A1BA09D" w:rsidR="00126BD8" w:rsidRPr="00126BD8" w:rsidRDefault="00126BD8" w:rsidP="00126BD8">
      <w:pPr>
        <w:rPr>
          <w:lang w:eastAsia="en-US"/>
        </w:rPr>
      </w:pPr>
      <w:r w:rsidRPr="00644D7A">
        <w:rPr>
          <w:b/>
          <w:sz w:val="20"/>
          <w:szCs w:val="20"/>
          <w:lang w:eastAsia="en-US"/>
        </w:rPr>
        <w:t>2.10.1</w:t>
      </w:r>
      <w:r w:rsidR="00644D7A">
        <w:rPr>
          <w:lang w:eastAsia="en-US"/>
        </w:rPr>
        <w:t xml:space="preserve"> A programme may be </w:t>
      </w:r>
      <w:r w:rsidRPr="00126BD8">
        <w:rPr>
          <w:lang w:eastAsia="en-US"/>
        </w:rPr>
        <w:t xml:space="preserve">promoted as ‘subject to University approval’ (e.g. through </w:t>
      </w:r>
      <w:r w:rsidR="00644D7A">
        <w:rPr>
          <w:lang w:eastAsia="en-US"/>
        </w:rPr>
        <w:t>External Relations</w:t>
      </w:r>
      <w:r w:rsidRPr="00126BD8">
        <w:rPr>
          <w:lang w:eastAsia="en-US"/>
        </w:rPr>
        <w:t xml:space="preserve"> and external websites such as UCAS and UKPASS) after School endorsement of the p</w:t>
      </w:r>
      <w:r w:rsidR="00644D7A">
        <w:rPr>
          <w:lang w:eastAsia="en-US"/>
        </w:rPr>
        <w:t xml:space="preserve">rogramme. </w:t>
      </w:r>
      <w:r w:rsidRPr="00126BD8">
        <w:rPr>
          <w:lang w:eastAsia="en-US"/>
        </w:rPr>
        <w:t>The programme will only be open to accept applications after it has been formally approved by the QASC unless, under exceptional circumstances, Emergency Powers have been used.</w:t>
      </w:r>
    </w:p>
    <w:p w14:paraId="62B697DE" w14:textId="2DCE110F" w:rsidR="00126BD8" w:rsidRPr="00126BD8" w:rsidRDefault="00126BD8" w:rsidP="00126BD8">
      <w:pPr>
        <w:rPr>
          <w:lang w:eastAsia="en-US"/>
        </w:rPr>
      </w:pPr>
      <w:r w:rsidRPr="00644D7A">
        <w:rPr>
          <w:b/>
          <w:sz w:val="20"/>
          <w:szCs w:val="20"/>
          <w:lang w:eastAsia="en-US"/>
        </w:rPr>
        <w:t>2.10.2</w:t>
      </w:r>
      <w:r w:rsidRPr="00126BD8">
        <w:rPr>
          <w:lang w:eastAsia="en-US"/>
        </w:rPr>
        <w:t xml:space="preserve"> As with all taught provision, new programmes will undergo an ann</w:t>
      </w:r>
      <w:r w:rsidR="00644D7A">
        <w:rPr>
          <w:lang w:eastAsia="en-US"/>
        </w:rPr>
        <w:t>ual quality enhancement review.</w:t>
      </w:r>
      <w:r w:rsidRPr="00126BD8">
        <w:rPr>
          <w:lang w:eastAsia="en-US"/>
        </w:rPr>
        <w:t xml:space="preserve"> It is expected that in the first few years this takes account of the need to look critically at the new programme's initial operation, with adjustments being made as deemed necessary.</w:t>
      </w:r>
    </w:p>
    <w:p w14:paraId="11ECFD50" w14:textId="1F0D260A" w:rsidR="00126BD8" w:rsidRPr="00126BD8" w:rsidRDefault="00126BD8" w:rsidP="00126BD8">
      <w:pPr>
        <w:rPr>
          <w:lang w:eastAsia="en-US"/>
        </w:rPr>
      </w:pPr>
      <w:r w:rsidRPr="00644D7A">
        <w:rPr>
          <w:b/>
          <w:sz w:val="20"/>
          <w:szCs w:val="20"/>
          <w:lang w:eastAsia="en-US"/>
        </w:rPr>
        <w:t>2.10.3</w:t>
      </w:r>
      <w:r w:rsidRPr="00126BD8">
        <w:rPr>
          <w:lang w:eastAsia="en-US"/>
        </w:rPr>
        <w:t xml:space="preserve"> In addition to the normal annual quality enhancement reviews Schools should ensure that all new programmes are subject to annual sustainability reviews over the first </w:t>
      </w:r>
      <w:r w:rsidR="00644D7A">
        <w:rPr>
          <w:lang w:eastAsia="en-US"/>
        </w:rPr>
        <w:t xml:space="preserve">4 years of their operation. </w:t>
      </w:r>
      <w:r w:rsidRPr="00126BD8">
        <w:rPr>
          <w:lang w:eastAsia="en-US"/>
        </w:rPr>
        <w:t>The sustainability reviews should assess the relationship between the original business plan projections and the actual income, costs and benefits of delivery of the programme.</w:t>
      </w:r>
    </w:p>
    <w:p w14:paraId="6A5FD171" w14:textId="24C7009A" w:rsidR="00126BD8" w:rsidRDefault="00126BD8" w:rsidP="00126BD8">
      <w:pPr>
        <w:rPr>
          <w:lang w:eastAsia="en-US"/>
        </w:rPr>
      </w:pPr>
      <w:r w:rsidRPr="00644D7A">
        <w:rPr>
          <w:b/>
          <w:sz w:val="20"/>
          <w:szCs w:val="20"/>
          <w:lang w:eastAsia="en-US"/>
        </w:rPr>
        <w:t>2.10.4</w:t>
      </w:r>
      <w:r w:rsidRPr="00126BD8">
        <w:rPr>
          <w:lang w:eastAsia="en-US"/>
        </w:rPr>
        <w:t xml:space="preserve"> Senate approval of a new programme is for a maximum period of </w:t>
      </w:r>
      <w:r w:rsidR="00644D7A">
        <w:rPr>
          <w:lang w:eastAsia="en-US"/>
        </w:rPr>
        <w:t>6</w:t>
      </w:r>
      <w:r w:rsidRPr="00126BD8">
        <w:rPr>
          <w:lang w:eastAsia="en-US"/>
        </w:rPr>
        <w:t xml:space="preserve"> years after the first student intake, with a normal requirement for cyclical re-approval every </w:t>
      </w:r>
      <w:r w:rsidR="00644D7A">
        <w:rPr>
          <w:lang w:eastAsia="en-US"/>
        </w:rPr>
        <w:t>6</w:t>
      </w:r>
      <w:r w:rsidRPr="00126BD8">
        <w:rPr>
          <w:lang w:eastAsia="en-US"/>
        </w:rPr>
        <w:t xml:space="preserve"> years as part of the University’s peri</w:t>
      </w:r>
      <w:r w:rsidR="005E1583">
        <w:rPr>
          <w:lang w:eastAsia="en-US"/>
        </w:rPr>
        <w:t xml:space="preserve">odic programme review process. </w:t>
      </w:r>
      <w:r w:rsidRPr="00126BD8">
        <w:rPr>
          <w:lang w:eastAsia="en-US"/>
        </w:rPr>
        <w:t xml:space="preserve">If there is a significant delay (i.e. more than </w:t>
      </w:r>
      <w:r w:rsidR="005E1583">
        <w:rPr>
          <w:lang w:eastAsia="en-US"/>
        </w:rPr>
        <w:t>2</w:t>
      </w:r>
      <w:r w:rsidRPr="00126BD8">
        <w:rPr>
          <w:lang w:eastAsia="en-US"/>
        </w:rPr>
        <w:t xml:space="preserve"> years) between approval of the new programme and the first student intake arrangements for re-approval and review must be discussed and agreed with the Director of Quality and Academic Standards.</w:t>
      </w:r>
    </w:p>
    <w:p w14:paraId="527688FF" w14:textId="77777777" w:rsidR="005B00B7" w:rsidRPr="009430CC" w:rsidRDefault="005B00B7">
      <w:pPr>
        <w:spacing w:after="0"/>
        <w:jc w:val="left"/>
        <w:rPr>
          <w:rFonts w:asciiTheme="majorHAnsi" w:hAnsiTheme="majorHAnsi"/>
          <w:bCs/>
          <w:iCs/>
          <w:szCs w:val="20"/>
          <w:lang w:eastAsia="en-US"/>
        </w:rPr>
      </w:pPr>
      <w:bookmarkStart w:id="18" w:name="_3._New_module"/>
      <w:bookmarkEnd w:id="18"/>
      <w:r>
        <w:br w:type="page"/>
      </w:r>
    </w:p>
    <w:p w14:paraId="78F2BD61" w14:textId="4915554F" w:rsidR="00126BD8" w:rsidRPr="00126BD8" w:rsidRDefault="00126BD8" w:rsidP="005E1583">
      <w:pPr>
        <w:pStyle w:val="Heading3"/>
      </w:pPr>
      <w:bookmarkStart w:id="19" w:name="_3._New_module_1"/>
      <w:bookmarkEnd w:id="19"/>
      <w:r w:rsidRPr="00126BD8">
        <w:lastRenderedPageBreak/>
        <w:t>3. New module approval</w:t>
      </w:r>
    </w:p>
    <w:p w14:paraId="13583092" w14:textId="77777777" w:rsidR="00126BD8" w:rsidRPr="00126BD8" w:rsidRDefault="00126BD8" w:rsidP="005E1583">
      <w:pPr>
        <w:pStyle w:val="Heading4"/>
      </w:pPr>
      <w:bookmarkStart w:id="20" w:name="_3.1_Preamble"/>
      <w:bookmarkEnd w:id="20"/>
      <w:r w:rsidRPr="00126BD8">
        <w:t>3.1 Preamble</w:t>
      </w:r>
    </w:p>
    <w:p w14:paraId="394C0E1B" w14:textId="04681547" w:rsidR="00126BD8" w:rsidRPr="00126BD8" w:rsidRDefault="00126BD8" w:rsidP="00126BD8">
      <w:pPr>
        <w:rPr>
          <w:lang w:eastAsia="en-US"/>
        </w:rPr>
      </w:pPr>
      <w:r w:rsidRPr="005E1583">
        <w:rPr>
          <w:b/>
          <w:sz w:val="20"/>
          <w:szCs w:val="20"/>
          <w:lang w:eastAsia="en-US"/>
        </w:rPr>
        <w:t>3.1.1</w:t>
      </w:r>
      <w:r w:rsidRPr="00126BD8">
        <w:rPr>
          <w:lang w:eastAsia="en-US"/>
        </w:rPr>
        <w:t xml:space="preserve"> The process for module approval has been designed to align with the expectations and indicators of sound practice described in the QAA’s UK Quality Code, especially Chapter B1: Programme Des</w:t>
      </w:r>
      <w:r w:rsidR="005E1583">
        <w:rPr>
          <w:lang w:eastAsia="en-US"/>
        </w:rPr>
        <w:t xml:space="preserve">ign, Development and Approval. </w:t>
      </w:r>
      <w:r w:rsidRPr="00126BD8">
        <w:rPr>
          <w:lang w:eastAsia="en-US"/>
        </w:rPr>
        <w:t>The process applies to all proposals for new taught modules, both undergraduate and postgraduate.</w:t>
      </w:r>
    </w:p>
    <w:p w14:paraId="35C5FD12" w14:textId="47016D0E" w:rsidR="00126BD8" w:rsidRPr="00126BD8" w:rsidRDefault="00126BD8" w:rsidP="00126BD8">
      <w:pPr>
        <w:rPr>
          <w:lang w:eastAsia="en-US"/>
        </w:rPr>
      </w:pPr>
      <w:r w:rsidRPr="005E1583">
        <w:rPr>
          <w:b/>
          <w:sz w:val="20"/>
          <w:szCs w:val="20"/>
          <w:lang w:eastAsia="en-US"/>
        </w:rPr>
        <w:t>3.1.2</w:t>
      </w:r>
      <w:r w:rsidRPr="00126BD8">
        <w:rPr>
          <w:lang w:eastAsia="en-US"/>
        </w:rPr>
        <w:t xml:space="preserve"> The expected norm is for proposals to be formally approved during semester time and for an adequate period to be allocated for administration related to associated programme specifications, public information, student rec</w:t>
      </w:r>
      <w:r w:rsidR="005E1583">
        <w:rPr>
          <w:lang w:eastAsia="en-US"/>
        </w:rPr>
        <w:t xml:space="preserve">ords and library requirements. </w:t>
      </w:r>
      <w:r w:rsidRPr="00126BD8">
        <w:rPr>
          <w:lang w:eastAsia="en-US"/>
        </w:rPr>
        <w:t xml:space="preserve">Consultation with </w:t>
      </w:r>
      <w:r w:rsidR="005E1583">
        <w:rPr>
          <w:lang w:eastAsia="en-US"/>
        </w:rPr>
        <w:t>External Relations</w:t>
      </w:r>
      <w:r w:rsidRPr="00126BD8">
        <w:rPr>
          <w:lang w:eastAsia="en-US"/>
        </w:rPr>
        <w:t>, Registry and t</w:t>
      </w:r>
      <w:r w:rsidR="005E1583">
        <w:rPr>
          <w:lang w:eastAsia="en-US"/>
        </w:rPr>
        <w:t>he LLC</w:t>
      </w:r>
      <w:r w:rsidRPr="00126BD8">
        <w:rPr>
          <w:lang w:eastAsia="en-US"/>
        </w:rPr>
        <w:t xml:space="preserve"> at the earliest possible stage is desirable.</w:t>
      </w:r>
    </w:p>
    <w:p w14:paraId="078A7E86" w14:textId="39F6B816" w:rsidR="00126BD8" w:rsidRPr="00126BD8" w:rsidRDefault="00126BD8" w:rsidP="00126BD8">
      <w:pPr>
        <w:rPr>
          <w:lang w:eastAsia="en-US"/>
        </w:rPr>
      </w:pPr>
      <w:r w:rsidRPr="005E1583">
        <w:rPr>
          <w:b/>
          <w:sz w:val="20"/>
          <w:szCs w:val="20"/>
          <w:lang w:eastAsia="en-US"/>
        </w:rPr>
        <w:t>3.1.3</w:t>
      </w:r>
      <w:r w:rsidRPr="00126BD8">
        <w:rPr>
          <w:lang w:eastAsia="en-US"/>
        </w:rPr>
        <w:t xml:space="preserve"> In situations where approvals need to be made </w:t>
      </w:r>
      <w:proofErr w:type="spellStart"/>
      <w:r w:rsidRPr="00126BD8">
        <w:rPr>
          <w:lang w:eastAsia="en-US"/>
        </w:rPr>
        <w:t>outwith</w:t>
      </w:r>
      <w:proofErr w:type="spellEnd"/>
      <w:r w:rsidRPr="00126BD8">
        <w:rPr>
          <w:lang w:eastAsia="en-US"/>
        </w:rPr>
        <w:t xml:space="preserve"> the normal reporting process the University’s </w:t>
      </w:r>
      <w:hyperlink r:id="rId29" w:history="1">
        <w:r w:rsidRPr="008D0C6C">
          <w:rPr>
            <w:rStyle w:val="Hyperlink"/>
            <w:color w:val="365F91" w:themeColor="accent1" w:themeShade="BF"/>
            <w:lang w:eastAsia="en-US"/>
          </w:rPr>
          <w:t>Emergency Powers</w:t>
        </w:r>
      </w:hyperlink>
      <w:r w:rsidR="005E1583">
        <w:rPr>
          <w:lang w:eastAsia="en-US"/>
        </w:rPr>
        <w:t xml:space="preserve"> process should be used. </w:t>
      </w:r>
      <w:r w:rsidRPr="00126BD8">
        <w:rPr>
          <w:lang w:eastAsia="en-US"/>
        </w:rPr>
        <w:t>This involves obtaining retrospective approva</w:t>
      </w:r>
      <w:r w:rsidR="005E1583">
        <w:rPr>
          <w:lang w:eastAsia="en-US"/>
        </w:rPr>
        <w:t xml:space="preserve">l from the QASC. </w:t>
      </w:r>
      <w:r w:rsidRPr="00126BD8">
        <w:rPr>
          <w:lang w:eastAsia="en-US"/>
        </w:rPr>
        <w:t>Emergency Powers should only be used under exceptional circumstances for</w:t>
      </w:r>
      <w:r w:rsidR="005E1583">
        <w:rPr>
          <w:lang w:eastAsia="en-US"/>
        </w:rPr>
        <w:t xml:space="preserve"> the approval of a new module. </w:t>
      </w:r>
      <w:r w:rsidRPr="00126BD8">
        <w:rPr>
          <w:lang w:eastAsia="en-US"/>
        </w:rPr>
        <w:t xml:space="preserve">The QASC meets </w:t>
      </w:r>
      <w:r w:rsidR="008D0C6C">
        <w:rPr>
          <w:lang w:eastAsia="en-US"/>
        </w:rPr>
        <w:t>6-</w:t>
      </w:r>
      <w:r w:rsidR="005E1583">
        <w:rPr>
          <w:lang w:eastAsia="en-US"/>
        </w:rPr>
        <w:t xml:space="preserve">7 </w:t>
      </w:r>
      <w:r w:rsidRPr="00126BD8">
        <w:rPr>
          <w:lang w:eastAsia="en-US"/>
        </w:rPr>
        <w:t>times a year.</w:t>
      </w:r>
    </w:p>
    <w:p w14:paraId="67248C21" w14:textId="77777777" w:rsidR="00126BD8" w:rsidRPr="00126BD8" w:rsidRDefault="00126BD8" w:rsidP="005E1583">
      <w:pPr>
        <w:pStyle w:val="Heading4"/>
      </w:pPr>
      <w:bookmarkStart w:id="21" w:name="_3.2_Development_of"/>
      <w:bookmarkEnd w:id="21"/>
      <w:r w:rsidRPr="00126BD8">
        <w:t>3.2 Development of the idea and rationale for a new module</w:t>
      </w:r>
    </w:p>
    <w:p w14:paraId="0020C9B3" w14:textId="77777777" w:rsidR="00126BD8" w:rsidRPr="00126BD8" w:rsidRDefault="00126BD8" w:rsidP="00126BD8">
      <w:pPr>
        <w:rPr>
          <w:lang w:eastAsia="en-US"/>
        </w:rPr>
      </w:pPr>
      <w:r w:rsidRPr="005E1583">
        <w:rPr>
          <w:b/>
          <w:sz w:val="20"/>
          <w:szCs w:val="20"/>
          <w:lang w:eastAsia="en-US"/>
        </w:rPr>
        <w:t>3.2.1</w:t>
      </w:r>
      <w:r w:rsidRPr="00126BD8">
        <w:rPr>
          <w:lang w:eastAsia="en-US"/>
        </w:rPr>
        <w:t xml:space="preserve"> The impetus for developing a new module may be for several different reasons including:</w:t>
      </w:r>
    </w:p>
    <w:p w14:paraId="04E6873C" w14:textId="77777777" w:rsidR="00126BD8" w:rsidRPr="00126BD8" w:rsidRDefault="00126BD8" w:rsidP="005E1583">
      <w:pPr>
        <w:numPr>
          <w:ilvl w:val="0"/>
          <w:numId w:val="30"/>
        </w:numPr>
        <w:ind w:left="714" w:hanging="357"/>
        <w:contextualSpacing/>
        <w:rPr>
          <w:lang w:eastAsia="en-US"/>
        </w:rPr>
      </w:pPr>
      <w:r w:rsidRPr="00126BD8">
        <w:rPr>
          <w:lang w:eastAsia="en-US"/>
        </w:rPr>
        <w:t>University and School learning and teaching strategies;</w:t>
      </w:r>
    </w:p>
    <w:p w14:paraId="1ADECCE9" w14:textId="77777777" w:rsidR="00126BD8" w:rsidRPr="00126BD8" w:rsidRDefault="00126BD8" w:rsidP="005E1583">
      <w:pPr>
        <w:numPr>
          <w:ilvl w:val="0"/>
          <w:numId w:val="30"/>
        </w:numPr>
        <w:ind w:left="714" w:hanging="357"/>
        <w:contextualSpacing/>
        <w:rPr>
          <w:lang w:eastAsia="en-US"/>
        </w:rPr>
      </w:pPr>
      <w:r w:rsidRPr="00126BD8">
        <w:rPr>
          <w:lang w:eastAsia="en-US"/>
        </w:rPr>
        <w:t>the development of a new programme;</w:t>
      </w:r>
    </w:p>
    <w:p w14:paraId="7067CCC3" w14:textId="77777777" w:rsidR="00126BD8" w:rsidRPr="00126BD8" w:rsidRDefault="00126BD8" w:rsidP="005E1583">
      <w:pPr>
        <w:numPr>
          <w:ilvl w:val="0"/>
          <w:numId w:val="30"/>
        </w:numPr>
        <w:ind w:left="714" w:hanging="357"/>
        <w:contextualSpacing/>
        <w:rPr>
          <w:lang w:eastAsia="en-US"/>
        </w:rPr>
      </w:pPr>
      <w:r w:rsidRPr="00126BD8">
        <w:rPr>
          <w:lang w:eastAsia="en-US"/>
        </w:rPr>
        <w:t>research-teaching linkages;</w:t>
      </w:r>
    </w:p>
    <w:p w14:paraId="59273EC0" w14:textId="77777777" w:rsidR="00126BD8" w:rsidRPr="00126BD8" w:rsidRDefault="00126BD8" w:rsidP="005E1583">
      <w:pPr>
        <w:numPr>
          <w:ilvl w:val="0"/>
          <w:numId w:val="30"/>
        </w:numPr>
        <w:ind w:left="714" w:hanging="357"/>
        <w:contextualSpacing/>
        <w:rPr>
          <w:lang w:eastAsia="en-US"/>
        </w:rPr>
      </w:pPr>
      <w:r w:rsidRPr="00126BD8">
        <w:rPr>
          <w:lang w:eastAsia="en-US"/>
        </w:rPr>
        <w:t>PSRB requirements; or/and</w:t>
      </w:r>
    </w:p>
    <w:p w14:paraId="519F2F2E" w14:textId="77777777" w:rsidR="00126BD8" w:rsidRPr="00126BD8" w:rsidRDefault="00126BD8" w:rsidP="00126BD8">
      <w:pPr>
        <w:numPr>
          <w:ilvl w:val="0"/>
          <w:numId w:val="30"/>
        </w:numPr>
        <w:rPr>
          <w:lang w:eastAsia="en-US"/>
        </w:rPr>
      </w:pPr>
      <w:r w:rsidRPr="00126BD8">
        <w:rPr>
          <w:lang w:eastAsia="en-US"/>
        </w:rPr>
        <w:t>the outcomes of periodic or annual programme review, or curriculum review.</w:t>
      </w:r>
    </w:p>
    <w:p w14:paraId="62E1D2F9" w14:textId="72D9BA86" w:rsidR="00126BD8" w:rsidRPr="00126BD8" w:rsidRDefault="00126BD8" w:rsidP="00126BD8">
      <w:pPr>
        <w:rPr>
          <w:lang w:eastAsia="en-US"/>
        </w:rPr>
      </w:pPr>
      <w:r w:rsidRPr="0001774C">
        <w:rPr>
          <w:b/>
          <w:sz w:val="20"/>
          <w:szCs w:val="20"/>
          <w:lang w:eastAsia="en-US"/>
        </w:rPr>
        <w:t>3.2.2</w:t>
      </w:r>
      <w:r w:rsidRPr="00126BD8">
        <w:rPr>
          <w:lang w:eastAsia="en-US"/>
        </w:rPr>
        <w:t xml:space="preserve"> The idea should be discussed in principle with members of t</w:t>
      </w:r>
      <w:r w:rsidR="0001774C">
        <w:rPr>
          <w:lang w:eastAsia="en-US"/>
        </w:rPr>
        <w:t xml:space="preserve">he relevant programme team(s). </w:t>
      </w:r>
      <w:r w:rsidRPr="00126BD8">
        <w:rPr>
          <w:lang w:eastAsia="en-US"/>
        </w:rPr>
        <w:t>Following this there should be preliminary discussions with the relevant Associate Deans (Learning and Teaching, Quality and Academic Standards) and the Manager(s) of the School(s) to ensure that the proposal is aligned with relevant str</w:t>
      </w:r>
      <w:r w:rsidR="0001774C">
        <w:rPr>
          <w:lang w:eastAsia="en-US"/>
        </w:rPr>
        <w:t xml:space="preserve">ategies and operational plans. </w:t>
      </w:r>
      <w:r w:rsidRPr="00126BD8">
        <w:rPr>
          <w:lang w:eastAsia="en-US"/>
        </w:rPr>
        <w:t>The decision to proceed with development of a new module must be endorsed by the Associate Deans (Learning and Teaching, Quality and Academic Standards) and School Manager(s) before the detailed development work takes place.</w:t>
      </w:r>
    </w:p>
    <w:p w14:paraId="0C677D71" w14:textId="2ABF38C0" w:rsidR="00126BD8" w:rsidRPr="00126BD8" w:rsidRDefault="00126BD8" w:rsidP="00126BD8">
      <w:pPr>
        <w:rPr>
          <w:lang w:eastAsia="en-US"/>
        </w:rPr>
      </w:pPr>
      <w:r w:rsidRPr="0001774C">
        <w:rPr>
          <w:b/>
          <w:sz w:val="20"/>
          <w:szCs w:val="20"/>
          <w:lang w:eastAsia="en-US"/>
        </w:rPr>
        <w:t>3.2.3</w:t>
      </w:r>
      <w:r w:rsidRPr="00126BD8">
        <w:rPr>
          <w:lang w:eastAsia="en-US"/>
        </w:rPr>
        <w:t xml:space="preserve"> Where the proposed new module is being designed to replace an existing core or optional module consideration should also be given to the resulting changes to the programme specification(s) and whether this impacts on the reasonable expectations of applican</w:t>
      </w:r>
      <w:r w:rsidR="0001774C">
        <w:rPr>
          <w:lang w:eastAsia="en-US"/>
        </w:rPr>
        <w:t xml:space="preserve">ts and/or continuing students. </w:t>
      </w:r>
      <w:r w:rsidRPr="00126BD8">
        <w:rPr>
          <w:lang w:eastAsia="en-US"/>
        </w:rPr>
        <w:t xml:space="preserve">The procedures described in University’s </w:t>
      </w:r>
      <w:hyperlink r:id="rId30" w:history="1">
        <w:r w:rsidRPr="005765AF">
          <w:rPr>
            <w:rStyle w:val="Hyperlink"/>
            <w:color w:val="365F91" w:themeColor="accent1" w:themeShade="BF"/>
            <w:lang w:eastAsia="en-US"/>
          </w:rPr>
          <w:t>Policy and Guidance on Changes to Taught Provision</w:t>
        </w:r>
      </w:hyperlink>
      <w:r w:rsidRPr="00126BD8">
        <w:rPr>
          <w:lang w:eastAsia="en-US"/>
        </w:rPr>
        <w:t xml:space="preserve"> should be followed.</w:t>
      </w:r>
    </w:p>
    <w:p w14:paraId="79440980" w14:textId="358C89DE" w:rsidR="00126BD8" w:rsidRPr="00126BD8" w:rsidRDefault="00126BD8" w:rsidP="00126BD8">
      <w:pPr>
        <w:rPr>
          <w:lang w:eastAsia="en-US"/>
        </w:rPr>
      </w:pPr>
      <w:r w:rsidRPr="0001774C">
        <w:rPr>
          <w:b/>
          <w:sz w:val="20"/>
          <w:szCs w:val="20"/>
          <w:lang w:eastAsia="en-US"/>
        </w:rPr>
        <w:t>3.2.4</w:t>
      </w:r>
      <w:r w:rsidRPr="00126BD8">
        <w:rPr>
          <w:lang w:eastAsia="en-US"/>
        </w:rPr>
        <w:t xml:space="preserve"> Staff are encouraged to seek early advice and guidance from r</w:t>
      </w:r>
      <w:r w:rsidR="0001774C">
        <w:rPr>
          <w:lang w:eastAsia="en-US"/>
        </w:rPr>
        <w:t xml:space="preserve">elevant Professional Services. </w:t>
      </w:r>
      <w:r w:rsidRPr="00126BD8">
        <w:rPr>
          <w:lang w:eastAsia="en-US"/>
        </w:rPr>
        <w:t>In particular, there should be early discussion about any requirements that go beyond the current standard level of service provision.</w:t>
      </w:r>
    </w:p>
    <w:p w14:paraId="422D6F35" w14:textId="77777777" w:rsidR="00126BD8" w:rsidRPr="00126BD8" w:rsidRDefault="00126BD8" w:rsidP="0001774C">
      <w:pPr>
        <w:pStyle w:val="Heading4"/>
      </w:pPr>
      <w:bookmarkStart w:id="22" w:name="_3.3_Design_of"/>
      <w:bookmarkEnd w:id="22"/>
      <w:r w:rsidRPr="00126BD8">
        <w:t>3.3 Design of the new module and drafting of the module documentation</w:t>
      </w:r>
    </w:p>
    <w:p w14:paraId="641019E5" w14:textId="1ED590BB" w:rsidR="00126BD8" w:rsidRPr="00126BD8" w:rsidRDefault="00126BD8" w:rsidP="00126BD8">
      <w:pPr>
        <w:rPr>
          <w:lang w:eastAsia="en-US"/>
        </w:rPr>
      </w:pPr>
      <w:r w:rsidRPr="0001774C">
        <w:rPr>
          <w:b/>
          <w:sz w:val="20"/>
          <w:szCs w:val="20"/>
          <w:lang w:eastAsia="en-US"/>
        </w:rPr>
        <w:t>3.3.1</w:t>
      </w:r>
      <w:r w:rsidRPr="00126BD8">
        <w:rPr>
          <w:lang w:eastAsia="en-US"/>
        </w:rPr>
        <w:t xml:space="preserve"> Module design should consider the academic and/or professional purpose of the module, </w:t>
      </w:r>
      <w:r w:rsidR="0001774C">
        <w:rPr>
          <w:lang w:eastAsia="en-US"/>
        </w:rPr>
        <w:t>the ILOs</w:t>
      </w:r>
      <w:r w:rsidRPr="00126BD8">
        <w:rPr>
          <w:lang w:eastAsia="en-US"/>
        </w:rPr>
        <w:t xml:space="preserve"> that are necessary to achieve that purpose and how students wil</w:t>
      </w:r>
      <w:r w:rsidR="0001774C">
        <w:rPr>
          <w:lang w:eastAsia="en-US"/>
        </w:rPr>
        <w:t xml:space="preserve">l be enabled to achieve these. </w:t>
      </w:r>
      <w:r w:rsidRPr="00126BD8">
        <w:rPr>
          <w:lang w:eastAsia="en-US"/>
        </w:rPr>
        <w:t>An integral part of module design is the strategy to assess how students have achieved the ILOs, including formative assessment elements.</w:t>
      </w:r>
    </w:p>
    <w:p w14:paraId="58BE57A2" w14:textId="1065A04E" w:rsidR="00126BD8" w:rsidRPr="00126BD8" w:rsidRDefault="00126BD8" w:rsidP="00126BD8">
      <w:pPr>
        <w:rPr>
          <w:lang w:eastAsia="en-US"/>
        </w:rPr>
      </w:pPr>
      <w:r w:rsidRPr="0001774C">
        <w:rPr>
          <w:b/>
          <w:sz w:val="20"/>
          <w:szCs w:val="20"/>
          <w:lang w:eastAsia="en-US"/>
        </w:rPr>
        <w:t>3.3.2</w:t>
      </w:r>
      <w:r w:rsidRPr="00126BD8">
        <w:rPr>
          <w:lang w:eastAsia="en-US"/>
        </w:rPr>
        <w:t xml:space="preserve"> Where possible, students should be encouraged to provide their input and feedback on</w:t>
      </w:r>
      <w:r w:rsidR="0001774C">
        <w:rPr>
          <w:lang w:eastAsia="en-US"/>
        </w:rPr>
        <w:t xml:space="preserve"> the design of the new module. </w:t>
      </w:r>
      <w:r w:rsidRPr="00126BD8">
        <w:rPr>
          <w:lang w:eastAsia="en-US"/>
        </w:rPr>
        <w:t>Opportunities should be put in place for students studying on the ‘parent’ or related programme(s) to provide meaningful input to the approach to the student learning experience and assessment of the ILOs.</w:t>
      </w:r>
    </w:p>
    <w:p w14:paraId="1934BBD8" w14:textId="7702B700" w:rsidR="00126BD8" w:rsidRPr="00126BD8" w:rsidRDefault="00126BD8" w:rsidP="00126BD8">
      <w:pPr>
        <w:rPr>
          <w:lang w:eastAsia="en-US"/>
        </w:rPr>
      </w:pPr>
      <w:r w:rsidRPr="0001774C">
        <w:rPr>
          <w:b/>
          <w:sz w:val="20"/>
          <w:szCs w:val="20"/>
          <w:lang w:eastAsia="en-US"/>
        </w:rPr>
        <w:lastRenderedPageBreak/>
        <w:t>3.3.3</w:t>
      </w:r>
      <w:r w:rsidRPr="00126BD8">
        <w:rPr>
          <w:lang w:eastAsia="en-US"/>
        </w:rPr>
        <w:t xml:space="preserve"> The ILOs for the module should be designed and written to reflect the appropriate </w:t>
      </w:r>
      <w:hyperlink r:id="rId31" w:history="1">
        <w:r w:rsidRPr="0001774C">
          <w:rPr>
            <w:rStyle w:val="Hyperlink"/>
            <w:color w:val="365F91" w:themeColor="accent1" w:themeShade="BF"/>
            <w:lang w:eastAsia="en-US"/>
          </w:rPr>
          <w:t>Scottish Credit and Qualifications Framework</w:t>
        </w:r>
      </w:hyperlink>
      <w:r w:rsidR="005B00B7">
        <w:rPr>
          <w:lang w:eastAsia="en-US"/>
        </w:rPr>
        <w:t xml:space="preserve"> (SCQF) level. </w:t>
      </w:r>
      <w:r w:rsidRPr="00126BD8">
        <w:rPr>
          <w:lang w:eastAsia="en-US"/>
        </w:rPr>
        <w:t xml:space="preserve">The </w:t>
      </w:r>
      <w:hyperlink r:id="rId32" w:history="1">
        <w:r w:rsidRPr="0001774C">
          <w:rPr>
            <w:rStyle w:val="Hyperlink"/>
            <w:color w:val="365F91" w:themeColor="accent1" w:themeShade="BF"/>
            <w:lang w:eastAsia="en-US"/>
          </w:rPr>
          <w:t>QAA subject benchmark statements</w:t>
        </w:r>
      </w:hyperlink>
      <w:r w:rsidRPr="00126BD8">
        <w:rPr>
          <w:lang w:eastAsia="en-US"/>
        </w:rPr>
        <w:t xml:space="preserve"> and the requirements of PSRBs should be taken into account where relevant.</w:t>
      </w:r>
    </w:p>
    <w:p w14:paraId="171706B7" w14:textId="06B51938" w:rsidR="00126BD8" w:rsidRPr="00126BD8" w:rsidRDefault="00126BD8" w:rsidP="00126BD8">
      <w:pPr>
        <w:rPr>
          <w:lang w:eastAsia="en-US"/>
        </w:rPr>
      </w:pPr>
      <w:r w:rsidRPr="00126BD8">
        <w:rPr>
          <w:b/>
          <w:lang w:eastAsia="en-US"/>
        </w:rPr>
        <w:t>3.3.4</w:t>
      </w:r>
      <w:r w:rsidRPr="00126BD8">
        <w:rPr>
          <w:lang w:eastAsia="en-US"/>
        </w:rPr>
        <w:t xml:space="preserve"> The ILOs should be concise statements of what students should know, understand and be able to carry out as a result of</w:t>
      </w:r>
      <w:r w:rsidR="0001774C">
        <w:rPr>
          <w:lang w:eastAsia="en-US"/>
        </w:rPr>
        <w:t xml:space="preserve"> their learning on the module. </w:t>
      </w:r>
      <w:r w:rsidRPr="00126BD8">
        <w:rPr>
          <w:lang w:eastAsia="en-US"/>
        </w:rPr>
        <w:t>They should be described under the following headings:</w:t>
      </w:r>
    </w:p>
    <w:p w14:paraId="69696BA0" w14:textId="77777777" w:rsidR="00126BD8" w:rsidRPr="00126BD8" w:rsidRDefault="00126BD8" w:rsidP="0001774C">
      <w:pPr>
        <w:numPr>
          <w:ilvl w:val="0"/>
          <w:numId w:val="31"/>
        </w:numPr>
        <w:ind w:left="714" w:hanging="357"/>
        <w:contextualSpacing/>
        <w:rPr>
          <w:lang w:eastAsia="en-US"/>
        </w:rPr>
      </w:pPr>
      <w:r w:rsidRPr="00126BD8">
        <w:rPr>
          <w:lang w:eastAsia="en-US"/>
        </w:rPr>
        <w:t>Knowledge and understanding.</w:t>
      </w:r>
    </w:p>
    <w:p w14:paraId="0C52CE77" w14:textId="77777777" w:rsidR="00126BD8" w:rsidRPr="00126BD8" w:rsidRDefault="00126BD8" w:rsidP="0001774C">
      <w:pPr>
        <w:numPr>
          <w:ilvl w:val="0"/>
          <w:numId w:val="31"/>
        </w:numPr>
        <w:ind w:left="714" w:hanging="357"/>
        <w:contextualSpacing/>
        <w:rPr>
          <w:lang w:eastAsia="en-US"/>
        </w:rPr>
      </w:pPr>
      <w:r w:rsidRPr="00126BD8">
        <w:rPr>
          <w:lang w:eastAsia="en-US"/>
        </w:rPr>
        <w:t>Subject-specific practical and intellectual skills and attributes.</w:t>
      </w:r>
    </w:p>
    <w:p w14:paraId="5FC76FF0" w14:textId="77777777" w:rsidR="00126BD8" w:rsidRPr="00126BD8" w:rsidRDefault="00126BD8" w:rsidP="00126BD8">
      <w:pPr>
        <w:numPr>
          <w:ilvl w:val="0"/>
          <w:numId w:val="31"/>
        </w:numPr>
        <w:rPr>
          <w:lang w:eastAsia="en-US"/>
        </w:rPr>
      </w:pPr>
      <w:r w:rsidRPr="00126BD8">
        <w:rPr>
          <w:lang w:eastAsia="en-US"/>
        </w:rPr>
        <w:t>Transferable, employability and enterprise skills and attributes.</w:t>
      </w:r>
    </w:p>
    <w:p w14:paraId="011E39AF" w14:textId="3DD23886" w:rsidR="00126BD8" w:rsidRPr="00126BD8" w:rsidRDefault="00126BD8" w:rsidP="00126BD8">
      <w:pPr>
        <w:rPr>
          <w:lang w:eastAsia="en-US"/>
        </w:rPr>
      </w:pPr>
      <w:r w:rsidRPr="0001774C">
        <w:rPr>
          <w:b/>
          <w:sz w:val="20"/>
          <w:szCs w:val="20"/>
          <w:lang w:eastAsia="en-US"/>
        </w:rPr>
        <w:t>3.3.5</w:t>
      </w:r>
      <w:r w:rsidRPr="00126BD8">
        <w:rPr>
          <w:lang w:eastAsia="en-US"/>
        </w:rPr>
        <w:t xml:space="preserve"> It is recommended that Schools suggest an upper limit to the number of ILOs that sho</w:t>
      </w:r>
      <w:r w:rsidR="0001774C">
        <w:rPr>
          <w:lang w:eastAsia="en-US"/>
        </w:rPr>
        <w:t xml:space="preserve">uld be defined for any module. </w:t>
      </w:r>
      <w:r w:rsidRPr="00126BD8">
        <w:rPr>
          <w:lang w:eastAsia="en-US"/>
        </w:rPr>
        <w:t xml:space="preserve">A maximum of five ILOs for a typical 20 or 30 credit </w:t>
      </w:r>
      <w:proofErr w:type="gramStart"/>
      <w:r w:rsidRPr="00126BD8">
        <w:rPr>
          <w:lang w:eastAsia="en-US"/>
        </w:rPr>
        <w:t>module</w:t>
      </w:r>
      <w:proofErr w:type="gramEnd"/>
      <w:r w:rsidRPr="00126BD8">
        <w:rPr>
          <w:lang w:eastAsia="en-US"/>
        </w:rPr>
        <w:t xml:space="preserve"> would normally be appropriate.</w:t>
      </w:r>
    </w:p>
    <w:p w14:paraId="7F97ACD6" w14:textId="3B0A40AD" w:rsidR="00126BD8" w:rsidRPr="00126BD8" w:rsidRDefault="00126BD8" w:rsidP="00126BD8">
      <w:pPr>
        <w:rPr>
          <w:lang w:eastAsia="en-US"/>
        </w:rPr>
      </w:pPr>
      <w:r w:rsidRPr="0001774C">
        <w:rPr>
          <w:b/>
          <w:sz w:val="20"/>
          <w:szCs w:val="20"/>
          <w:lang w:eastAsia="en-US"/>
        </w:rPr>
        <w:t>3.3.6</w:t>
      </w:r>
      <w:r w:rsidRPr="00126BD8">
        <w:rPr>
          <w:lang w:eastAsia="en-US"/>
        </w:rPr>
        <w:t xml:space="preserve"> In the development and description of ILOs, module developers may find the Bloom’s Taxonomy referenced by the SCQF in their booklet </w:t>
      </w:r>
      <w:hyperlink r:id="rId33" w:history="1">
        <w:r w:rsidRPr="0001774C">
          <w:rPr>
            <w:rStyle w:val="Hyperlink"/>
            <w:color w:val="365F91" w:themeColor="accent1" w:themeShade="BF"/>
            <w:lang w:eastAsia="en-US"/>
          </w:rPr>
          <w:t>SCQF Credit Rating Criteria Explained</w:t>
        </w:r>
      </w:hyperlink>
      <w:r w:rsidRPr="00126BD8">
        <w:rPr>
          <w:lang w:eastAsia="en-US"/>
        </w:rPr>
        <w:t xml:space="preserve"> to be a helpful resource.</w:t>
      </w:r>
    </w:p>
    <w:p w14:paraId="78CE8BC5" w14:textId="3C6851E6" w:rsidR="00126BD8" w:rsidRPr="00126BD8" w:rsidRDefault="00126BD8" w:rsidP="00126BD8">
      <w:pPr>
        <w:rPr>
          <w:lang w:eastAsia="en-US"/>
        </w:rPr>
      </w:pPr>
      <w:r w:rsidRPr="0001774C">
        <w:rPr>
          <w:b/>
          <w:sz w:val="20"/>
          <w:szCs w:val="20"/>
          <w:lang w:eastAsia="en-US"/>
        </w:rPr>
        <w:t>3.3.7</w:t>
      </w:r>
      <w:r w:rsidRPr="00126BD8">
        <w:rPr>
          <w:lang w:eastAsia="en-US"/>
        </w:rPr>
        <w:t xml:space="preserve"> Advice may be sought from the Head of the </w:t>
      </w:r>
      <w:hyperlink r:id="rId34" w:history="1">
        <w:r w:rsidR="005765AF" w:rsidRPr="000E1DA3">
          <w:rPr>
            <w:rStyle w:val="Hyperlink"/>
            <w:color w:val="365F91" w:themeColor="accent1" w:themeShade="BF"/>
            <w:lang w:eastAsia="en-US"/>
          </w:rPr>
          <w:t>Academic Skills Centre</w:t>
        </w:r>
      </w:hyperlink>
      <w:r w:rsidR="005765AF">
        <w:rPr>
          <w:lang w:eastAsia="en-US"/>
        </w:rPr>
        <w:t xml:space="preserve"> (</w:t>
      </w:r>
      <w:r w:rsidR="000E1DA3">
        <w:rPr>
          <w:lang w:eastAsia="en-US"/>
        </w:rPr>
        <w:t>ASC</w:t>
      </w:r>
      <w:r w:rsidRPr="00126BD8">
        <w:rPr>
          <w:lang w:eastAsia="en-US"/>
        </w:rPr>
        <w:t>) about the development of ILOs and the alignment of approaches to teaching, learning</w:t>
      </w:r>
      <w:r w:rsidR="0024401C">
        <w:rPr>
          <w:lang w:eastAsia="en-US"/>
        </w:rPr>
        <w:t xml:space="preserve"> and assessment with the ILOs. </w:t>
      </w:r>
      <w:r w:rsidRPr="00126BD8">
        <w:rPr>
          <w:lang w:eastAsia="en-US"/>
        </w:rPr>
        <w:t>The Higher Education Academy also provides useful resources and toolkits to help with the design of taught provision.</w:t>
      </w:r>
    </w:p>
    <w:p w14:paraId="26D4FDE1" w14:textId="638D999C" w:rsidR="00126BD8" w:rsidRPr="00126BD8" w:rsidRDefault="00126BD8" w:rsidP="00126BD8">
      <w:pPr>
        <w:rPr>
          <w:lang w:eastAsia="en-US"/>
        </w:rPr>
      </w:pPr>
      <w:r w:rsidRPr="00CC7FB7">
        <w:rPr>
          <w:b/>
          <w:sz w:val="20"/>
          <w:szCs w:val="20"/>
          <w:lang w:eastAsia="en-US"/>
        </w:rPr>
        <w:t>3.3.8</w:t>
      </w:r>
      <w:r w:rsidRPr="00126BD8">
        <w:rPr>
          <w:lang w:eastAsia="en-US"/>
        </w:rPr>
        <w:t xml:space="preserve"> A detailed description of the proposed module should be prepared using the standard University </w:t>
      </w:r>
      <w:hyperlink r:id="rId35" w:history="1">
        <w:r w:rsidRPr="000E1DA3">
          <w:rPr>
            <w:rStyle w:val="Hyperlink"/>
            <w:color w:val="365F91" w:themeColor="accent1" w:themeShade="BF"/>
            <w:lang w:eastAsia="en-US"/>
          </w:rPr>
          <w:t>Module Specification and Supporting Information</w:t>
        </w:r>
      </w:hyperlink>
      <w:r w:rsidRPr="000E1DA3">
        <w:rPr>
          <w:lang w:eastAsia="en-US"/>
        </w:rPr>
        <w:t xml:space="preserve"> (MSSI) template</w:t>
      </w:r>
      <w:r w:rsidR="0024401C">
        <w:rPr>
          <w:lang w:eastAsia="en-US"/>
        </w:rPr>
        <w:t xml:space="preserve">. </w:t>
      </w:r>
      <w:r w:rsidRPr="00126BD8">
        <w:rPr>
          <w:lang w:eastAsia="en-US"/>
        </w:rPr>
        <w:t>The completed template will provide the basis for the definitive module specification, much of which may b</w:t>
      </w:r>
      <w:r w:rsidR="00CC7FB7">
        <w:rPr>
          <w:lang w:eastAsia="en-US"/>
        </w:rPr>
        <w:t xml:space="preserve">e publicly-facing information. </w:t>
      </w:r>
      <w:r w:rsidRPr="00126BD8">
        <w:rPr>
          <w:lang w:eastAsia="en-US"/>
        </w:rPr>
        <w:t xml:space="preserve">Detailed guidance on how to complete the MSSI is available as a </w:t>
      </w:r>
      <w:hyperlink r:id="rId36" w:history="1">
        <w:r w:rsidRPr="000E1DA3">
          <w:rPr>
            <w:rStyle w:val="Hyperlink"/>
            <w:color w:val="365F91" w:themeColor="accent1" w:themeShade="BF"/>
            <w:lang w:eastAsia="en-US"/>
          </w:rPr>
          <w:t>separate document</w:t>
        </w:r>
      </w:hyperlink>
      <w:r w:rsidRPr="00126BD8">
        <w:rPr>
          <w:lang w:eastAsia="en-US"/>
        </w:rPr>
        <w:t>.</w:t>
      </w:r>
    </w:p>
    <w:p w14:paraId="541C5736" w14:textId="77777777" w:rsidR="00126BD8" w:rsidRPr="00126BD8" w:rsidRDefault="00126BD8" w:rsidP="0024401C">
      <w:pPr>
        <w:pStyle w:val="Heading4"/>
      </w:pPr>
      <w:bookmarkStart w:id="23" w:name="_3.4_Initial_discussions"/>
      <w:bookmarkEnd w:id="23"/>
      <w:r w:rsidRPr="00126BD8">
        <w:t>3.4 Initial discussions with Professional Services</w:t>
      </w:r>
    </w:p>
    <w:p w14:paraId="5E4A8E7A" w14:textId="77777777" w:rsidR="00126BD8" w:rsidRPr="00126BD8" w:rsidRDefault="00126BD8" w:rsidP="00126BD8">
      <w:pPr>
        <w:rPr>
          <w:lang w:eastAsia="en-US"/>
        </w:rPr>
      </w:pPr>
      <w:r w:rsidRPr="0024401C">
        <w:rPr>
          <w:b/>
          <w:sz w:val="20"/>
          <w:szCs w:val="20"/>
          <w:lang w:eastAsia="en-US"/>
        </w:rPr>
        <w:t>3.4.1</w:t>
      </w:r>
      <w:r w:rsidRPr="00126BD8">
        <w:rPr>
          <w:lang w:eastAsia="en-US"/>
        </w:rPr>
        <w:t xml:space="preserve"> Module developers should consult with the following Professional Services during the drafting of the new module proposal (and prior to the internet posting stage):</w:t>
      </w:r>
    </w:p>
    <w:p w14:paraId="6D48D2AE" w14:textId="49C4BDB0" w:rsidR="00126BD8" w:rsidRPr="00126BD8" w:rsidRDefault="00126BD8" w:rsidP="009430CC">
      <w:pPr>
        <w:numPr>
          <w:ilvl w:val="0"/>
          <w:numId w:val="29"/>
        </w:numPr>
        <w:ind w:left="714" w:hanging="357"/>
        <w:contextualSpacing/>
        <w:rPr>
          <w:lang w:eastAsia="en-US"/>
        </w:rPr>
      </w:pPr>
      <w:r w:rsidRPr="00126BD8">
        <w:rPr>
          <w:lang w:eastAsia="en-US"/>
        </w:rPr>
        <w:t>The LLC</w:t>
      </w:r>
      <w:r w:rsidR="0024401C">
        <w:rPr>
          <w:lang w:eastAsia="en-US"/>
        </w:rPr>
        <w:t xml:space="preserve"> </w:t>
      </w:r>
      <w:r w:rsidRPr="00126BD8">
        <w:rPr>
          <w:lang w:eastAsia="en-US"/>
        </w:rPr>
        <w:t>—</w:t>
      </w:r>
      <w:r w:rsidR="0024401C">
        <w:rPr>
          <w:lang w:eastAsia="en-US"/>
        </w:rPr>
        <w:t xml:space="preserve"> </w:t>
      </w:r>
      <w:r w:rsidRPr="00126BD8">
        <w:rPr>
          <w:lang w:eastAsia="en-US"/>
        </w:rPr>
        <w:t xml:space="preserve">to discuss the required library resources (e.g. the composition of reading lists, teaching input to support the development of digital literacies, proposed use of the VLE and </w:t>
      </w:r>
      <w:r w:rsidR="0024401C">
        <w:rPr>
          <w:lang w:eastAsia="en-US"/>
        </w:rPr>
        <w:t xml:space="preserve">technology enhanced learning). </w:t>
      </w:r>
      <w:r w:rsidRPr="00126BD8">
        <w:rPr>
          <w:lang w:eastAsia="en-US"/>
        </w:rPr>
        <w:t xml:space="preserve">Contact: The relevant </w:t>
      </w:r>
      <w:hyperlink r:id="rId37" w:history="1">
        <w:r w:rsidRPr="0024401C">
          <w:rPr>
            <w:rStyle w:val="Hyperlink"/>
            <w:color w:val="365F91" w:themeColor="accent1" w:themeShade="BF"/>
            <w:lang w:eastAsia="en-US"/>
          </w:rPr>
          <w:t>Library Liaison Manager</w:t>
        </w:r>
      </w:hyperlink>
      <w:r w:rsidRPr="00126BD8">
        <w:rPr>
          <w:lang w:eastAsia="en-US"/>
        </w:rPr>
        <w:t xml:space="preserve"> and the Head of the </w:t>
      </w:r>
      <w:hyperlink r:id="rId38" w:history="1">
        <w:r w:rsidRPr="0024401C">
          <w:rPr>
            <w:rStyle w:val="Hyperlink"/>
            <w:color w:val="365F91" w:themeColor="accent1" w:themeShade="BF"/>
            <w:lang w:eastAsia="en-US"/>
          </w:rPr>
          <w:t>Centre for Technology and Innovation in Learning</w:t>
        </w:r>
      </w:hyperlink>
      <w:r w:rsidRPr="00126BD8">
        <w:rPr>
          <w:lang w:eastAsia="en-US"/>
        </w:rPr>
        <w:t>.</w:t>
      </w:r>
    </w:p>
    <w:p w14:paraId="1DC760CA" w14:textId="5D8BD89A" w:rsidR="00126BD8" w:rsidRPr="00126BD8" w:rsidRDefault="00126BD8" w:rsidP="00126BD8">
      <w:pPr>
        <w:numPr>
          <w:ilvl w:val="0"/>
          <w:numId w:val="29"/>
        </w:numPr>
        <w:rPr>
          <w:lang w:eastAsia="en-US"/>
        </w:rPr>
      </w:pPr>
      <w:r w:rsidRPr="00126BD8">
        <w:rPr>
          <w:lang w:eastAsia="en-US"/>
        </w:rPr>
        <w:t>The Registry</w:t>
      </w:r>
      <w:r w:rsidR="0024401C">
        <w:rPr>
          <w:lang w:eastAsia="en-US"/>
        </w:rPr>
        <w:t xml:space="preserve"> </w:t>
      </w:r>
      <w:r w:rsidRPr="00126BD8">
        <w:rPr>
          <w:lang w:eastAsia="en-US"/>
        </w:rPr>
        <w:t>—</w:t>
      </w:r>
      <w:r w:rsidR="0024401C">
        <w:rPr>
          <w:lang w:eastAsia="en-US"/>
        </w:rPr>
        <w:t xml:space="preserve"> </w:t>
      </w:r>
      <w:r w:rsidRPr="00126BD8">
        <w:rPr>
          <w:lang w:eastAsia="en-US"/>
        </w:rPr>
        <w:t>to discuss timetabling requirements and, where relevant, require</w:t>
      </w:r>
      <w:r w:rsidR="0024401C">
        <w:rPr>
          <w:lang w:eastAsia="en-US"/>
        </w:rPr>
        <w:t xml:space="preserve">ments for formal examinations. </w:t>
      </w:r>
      <w:r w:rsidRPr="00126BD8">
        <w:rPr>
          <w:lang w:eastAsia="en-US"/>
        </w:rPr>
        <w:t xml:space="preserve">Contact: see the </w:t>
      </w:r>
      <w:hyperlink r:id="rId39" w:history="1">
        <w:r w:rsidRPr="0024401C">
          <w:rPr>
            <w:rStyle w:val="Hyperlink"/>
            <w:color w:val="365F91" w:themeColor="accent1" w:themeShade="BF"/>
            <w:lang w:eastAsia="en-US"/>
          </w:rPr>
          <w:t>Directory of Registry Staff</w:t>
        </w:r>
      </w:hyperlink>
      <w:r w:rsidRPr="00126BD8">
        <w:rPr>
          <w:lang w:eastAsia="en-US"/>
        </w:rPr>
        <w:t xml:space="preserve"> (</w:t>
      </w:r>
      <w:hyperlink r:id="rId40" w:history="1">
        <w:r w:rsidRPr="0024401C">
          <w:rPr>
            <w:rStyle w:val="Hyperlink"/>
            <w:color w:val="365F91" w:themeColor="accent1" w:themeShade="BF"/>
            <w:lang w:eastAsia="en-US"/>
          </w:rPr>
          <w:t>registry@dundee.ac.uk</w:t>
        </w:r>
      </w:hyperlink>
      <w:r w:rsidRPr="00126BD8">
        <w:rPr>
          <w:lang w:eastAsia="en-US"/>
        </w:rPr>
        <w:t>).</w:t>
      </w:r>
    </w:p>
    <w:p w14:paraId="04D8D75D" w14:textId="77777777" w:rsidR="00126BD8" w:rsidRPr="00126BD8" w:rsidRDefault="00126BD8" w:rsidP="0024401C">
      <w:pPr>
        <w:pStyle w:val="Heading4"/>
      </w:pPr>
      <w:bookmarkStart w:id="24" w:name="_3.5_Scrutiny_of"/>
      <w:bookmarkEnd w:id="24"/>
      <w:r w:rsidRPr="00126BD8">
        <w:t>3.5 Scrutiny of the draft module documentation</w:t>
      </w:r>
    </w:p>
    <w:p w14:paraId="0DCAC42F" w14:textId="77777777" w:rsidR="00126BD8" w:rsidRPr="00126BD8" w:rsidRDefault="00126BD8" w:rsidP="00126BD8">
      <w:pPr>
        <w:rPr>
          <w:lang w:eastAsia="en-US"/>
        </w:rPr>
      </w:pPr>
      <w:r w:rsidRPr="004D137C">
        <w:rPr>
          <w:b/>
          <w:sz w:val="20"/>
          <w:szCs w:val="20"/>
          <w:lang w:eastAsia="en-US"/>
        </w:rPr>
        <w:t>3.5.1</w:t>
      </w:r>
      <w:r w:rsidRPr="00126BD8">
        <w:rPr>
          <w:lang w:eastAsia="en-US"/>
        </w:rPr>
        <w:t xml:space="preserve"> The Associate Dean (Quality and Academic Standards) from the lead School should decide on how proposals should be scrutinised within the School(s) prior to submission of new module documentation to the relevant School committee(s) for recommendation for approval.</w:t>
      </w:r>
    </w:p>
    <w:p w14:paraId="36D4F7CC" w14:textId="16CDC8EA" w:rsidR="00126BD8" w:rsidRPr="00126BD8" w:rsidRDefault="00126BD8" w:rsidP="00126BD8">
      <w:pPr>
        <w:rPr>
          <w:lang w:eastAsia="en-US"/>
        </w:rPr>
      </w:pPr>
      <w:r w:rsidRPr="004D137C">
        <w:rPr>
          <w:b/>
          <w:sz w:val="20"/>
          <w:szCs w:val="20"/>
          <w:lang w:eastAsia="en-US"/>
        </w:rPr>
        <w:t>3.5.2</w:t>
      </w:r>
      <w:r w:rsidRPr="00126BD8">
        <w:rPr>
          <w:lang w:eastAsia="en-US"/>
        </w:rPr>
        <w:t xml:space="preserve"> As part of the scrutiny of the proposal for a new module, the relevant Associate Dean (Quality and Academic Standards) should ensure that there is an appropriate degree of externality in the considerati</w:t>
      </w:r>
      <w:r w:rsidR="004D137C">
        <w:rPr>
          <w:lang w:eastAsia="en-US"/>
        </w:rPr>
        <w:t xml:space="preserve">on of the new module proposal. </w:t>
      </w:r>
      <w:r w:rsidRPr="00126BD8">
        <w:rPr>
          <w:lang w:eastAsia="en-US"/>
        </w:rPr>
        <w:t>External inputs should normally include the views of experienced members of staff from other Schools, external examiners of ‘parent’ or related programme(s) and PRSBs (where relevant).</w:t>
      </w:r>
    </w:p>
    <w:p w14:paraId="233313D8" w14:textId="77777777" w:rsidR="00126BD8" w:rsidRPr="00126BD8" w:rsidRDefault="00126BD8" w:rsidP="00126BD8">
      <w:pPr>
        <w:rPr>
          <w:lang w:eastAsia="en-US"/>
        </w:rPr>
      </w:pPr>
      <w:r w:rsidRPr="004D137C">
        <w:rPr>
          <w:b/>
          <w:sz w:val="20"/>
          <w:szCs w:val="20"/>
          <w:lang w:eastAsia="en-US"/>
        </w:rPr>
        <w:t>3.5.3</w:t>
      </w:r>
      <w:r w:rsidRPr="00126BD8">
        <w:rPr>
          <w:lang w:eastAsia="en-US"/>
        </w:rPr>
        <w:t xml:space="preserve"> In considering proposals for new modules particular attention should be paid to the proposed amount of contact time, the assessment regime (to ensure that any major variations from the norm for other modules on the programme are explicable) and the appropriateness of the ILOs.</w:t>
      </w:r>
    </w:p>
    <w:p w14:paraId="798D0AED" w14:textId="77777777" w:rsidR="00126BD8" w:rsidRPr="00126BD8" w:rsidRDefault="00126BD8" w:rsidP="00FC2F87">
      <w:pPr>
        <w:pStyle w:val="Heading4"/>
      </w:pPr>
      <w:bookmarkStart w:id="25" w:name="_3.6_Formative_feedback"/>
      <w:bookmarkEnd w:id="25"/>
      <w:r w:rsidRPr="00126BD8">
        <w:lastRenderedPageBreak/>
        <w:t>3.6 Formative feedback from Schools, Professional Services, DUSA and senior executives</w:t>
      </w:r>
    </w:p>
    <w:p w14:paraId="32E90E8D" w14:textId="2F50FF57" w:rsidR="00126BD8" w:rsidRPr="008C32D7" w:rsidRDefault="00126BD8" w:rsidP="00126BD8">
      <w:pPr>
        <w:rPr>
          <w:bCs/>
        </w:rPr>
      </w:pPr>
      <w:r w:rsidRPr="00FC2F87">
        <w:rPr>
          <w:b/>
          <w:sz w:val="20"/>
          <w:szCs w:val="20"/>
          <w:lang w:eastAsia="en-US"/>
        </w:rPr>
        <w:t>3.6.1</w:t>
      </w:r>
      <w:r w:rsidRPr="00126BD8">
        <w:rPr>
          <w:lang w:eastAsia="en-US"/>
        </w:rPr>
        <w:t xml:space="preserve"> Once the module documentation has been developed to meet School requirements there should be an opportunity for further formative feedback from other Schools, Professional Service</w:t>
      </w:r>
      <w:r w:rsidR="00FC2F87">
        <w:rPr>
          <w:lang w:eastAsia="en-US"/>
        </w:rPr>
        <w:t xml:space="preserve">s, DUSA and senior executives. </w:t>
      </w:r>
      <w:r w:rsidRPr="00126BD8">
        <w:rPr>
          <w:lang w:eastAsia="en-US"/>
        </w:rPr>
        <w:t>The relevant School quality manager should provide the QAS office with the dr</w:t>
      </w:r>
      <w:r w:rsidR="005B00B7">
        <w:rPr>
          <w:lang w:eastAsia="en-US"/>
        </w:rPr>
        <w:t xml:space="preserve">aft MSSI documentation. </w:t>
      </w:r>
      <w:r w:rsidRPr="00126BD8">
        <w:rPr>
          <w:lang w:eastAsia="en-US"/>
        </w:rPr>
        <w:t xml:space="preserve">The procedures detailed at </w:t>
      </w:r>
      <w:r w:rsidR="008C32D7">
        <w:rPr>
          <w:lang w:eastAsia="en-US"/>
        </w:rPr>
        <w:t xml:space="preserve">the </w:t>
      </w:r>
      <w:hyperlink r:id="rId41" w:history="1">
        <w:r w:rsidR="008C32D7" w:rsidRPr="008C32D7">
          <w:rPr>
            <w:rStyle w:val="Hyperlink"/>
            <w:bCs/>
            <w:color w:val="365F91" w:themeColor="accent1" w:themeShade="BF"/>
          </w:rPr>
          <w:t>University E-consultation posting process for new taught provision, changes to taught provision and changes to regulations</w:t>
        </w:r>
      </w:hyperlink>
      <w:r w:rsidR="008C32D7">
        <w:rPr>
          <w:bCs/>
        </w:rPr>
        <w:t xml:space="preserve"> should be followed. </w:t>
      </w:r>
      <w:r w:rsidRPr="00126BD8">
        <w:rPr>
          <w:lang w:eastAsia="en-US"/>
        </w:rPr>
        <w:t>The posting process involves notification to key executives in Professional Services and Schools, DUSA and the Vice-Principals.</w:t>
      </w:r>
    </w:p>
    <w:p w14:paraId="31DFF2CB" w14:textId="651DB6D5" w:rsidR="00126BD8" w:rsidRPr="00126BD8" w:rsidRDefault="00126BD8" w:rsidP="00126BD8">
      <w:pPr>
        <w:rPr>
          <w:lang w:eastAsia="en-US"/>
        </w:rPr>
      </w:pPr>
      <w:r w:rsidRPr="00FC2F87">
        <w:rPr>
          <w:b/>
          <w:sz w:val="20"/>
          <w:szCs w:val="20"/>
          <w:lang w:eastAsia="en-US"/>
        </w:rPr>
        <w:t>3.6.2</w:t>
      </w:r>
      <w:r w:rsidRPr="00126BD8">
        <w:rPr>
          <w:lang w:eastAsia="en-US"/>
        </w:rPr>
        <w:t xml:space="preserve"> The approval documents must be available for consultation for </w:t>
      </w:r>
      <w:r w:rsidR="00FC2F87">
        <w:rPr>
          <w:lang w:eastAsia="en-US"/>
        </w:rPr>
        <w:t xml:space="preserve">a minimum period of two weeks. </w:t>
      </w:r>
      <w:r w:rsidRPr="00126BD8">
        <w:rPr>
          <w:lang w:eastAsia="en-US"/>
        </w:rPr>
        <w:t>Any member of staff or DUSA may:</w:t>
      </w:r>
    </w:p>
    <w:p w14:paraId="777218BB" w14:textId="77777777" w:rsidR="00126BD8" w:rsidRPr="00126BD8" w:rsidRDefault="00126BD8" w:rsidP="00FC2F87">
      <w:pPr>
        <w:numPr>
          <w:ilvl w:val="0"/>
          <w:numId w:val="28"/>
        </w:numPr>
        <w:ind w:left="714" w:hanging="357"/>
        <w:contextualSpacing/>
        <w:rPr>
          <w:lang w:eastAsia="en-US"/>
        </w:rPr>
      </w:pPr>
      <w:r w:rsidRPr="00126BD8">
        <w:rPr>
          <w:lang w:eastAsia="en-US"/>
        </w:rPr>
        <w:t>discuss any issues with staff who are leading the proposal; and/or</w:t>
      </w:r>
    </w:p>
    <w:p w14:paraId="6F2BA69B" w14:textId="77777777" w:rsidR="00126BD8" w:rsidRPr="00126BD8" w:rsidRDefault="00126BD8" w:rsidP="00126BD8">
      <w:pPr>
        <w:numPr>
          <w:ilvl w:val="0"/>
          <w:numId w:val="28"/>
        </w:numPr>
        <w:rPr>
          <w:lang w:eastAsia="en-US"/>
        </w:rPr>
      </w:pPr>
      <w:r w:rsidRPr="00126BD8">
        <w:rPr>
          <w:lang w:eastAsia="en-US"/>
        </w:rPr>
        <w:t>submit comments on the proposal to the School quality manager.</w:t>
      </w:r>
    </w:p>
    <w:p w14:paraId="78A37F11" w14:textId="5528221E" w:rsidR="00126BD8" w:rsidRPr="00126BD8" w:rsidRDefault="00126BD8" w:rsidP="00126BD8">
      <w:pPr>
        <w:rPr>
          <w:lang w:eastAsia="en-US"/>
        </w:rPr>
      </w:pPr>
      <w:r w:rsidRPr="00FC2F87">
        <w:rPr>
          <w:b/>
          <w:sz w:val="20"/>
          <w:szCs w:val="20"/>
          <w:lang w:eastAsia="en-US"/>
        </w:rPr>
        <w:t>3.6.3</w:t>
      </w:r>
      <w:r w:rsidRPr="00126BD8">
        <w:rPr>
          <w:lang w:eastAsia="en-US"/>
        </w:rPr>
        <w:t xml:space="preserve"> Members of the e-consultation group are encouraged to consider the draft MSSI documentation and to raise any questions or concerns in order that their formative feedback can inform the formal consideration of the programm</w:t>
      </w:r>
      <w:r w:rsidR="0020138C">
        <w:rPr>
          <w:lang w:eastAsia="en-US"/>
        </w:rPr>
        <w:t xml:space="preserve">e documentation by the School. </w:t>
      </w:r>
      <w:r w:rsidRPr="00126BD8">
        <w:rPr>
          <w:lang w:eastAsia="en-US"/>
        </w:rPr>
        <w:t xml:space="preserve">The consultation with Schools, Professional Services, DUSA and senior executives through the posting process should therefore take place before the formal consideration of the module documentation at the level of the relevant School committee(s) (i.e. the School </w:t>
      </w:r>
      <w:r w:rsidR="0020138C">
        <w:rPr>
          <w:lang w:eastAsia="en-US"/>
        </w:rPr>
        <w:t>QASC</w:t>
      </w:r>
      <w:r w:rsidRPr="00126BD8">
        <w:rPr>
          <w:lang w:eastAsia="en-US"/>
        </w:rPr>
        <w:t xml:space="preserve"> and/or the School Board).</w:t>
      </w:r>
    </w:p>
    <w:p w14:paraId="334EABA2" w14:textId="77777777" w:rsidR="00126BD8" w:rsidRPr="00126BD8" w:rsidRDefault="00126BD8" w:rsidP="0020138C">
      <w:pPr>
        <w:pStyle w:val="Heading4"/>
      </w:pPr>
      <w:bookmarkStart w:id="26" w:name="_3.7_Formal_consideration"/>
      <w:bookmarkEnd w:id="26"/>
      <w:r w:rsidRPr="00126BD8">
        <w:t>3.7 Formal consideration of the module documentation by School committee(s)</w:t>
      </w:r>
    </w:p>
    <w:p w14:paraId="6C1B3473" w14:textId="0F9CAE1E" w:rsidR="00126BD8" w:rsidRPr="00126BD8" w:rsidRDefault="00126BD8" w:rsidP="00126BD8">
      <w:pPr>
        <w:rPr>
          <w:lang w:eastAsia="en-US"/>
        </w:rPr>
      </w:pPr>
      <w:r w:rsidRPr="0020138C">
        <w:rPr>
          <w:b/>
          <w:sz w:val="20"/>
          <w:szCs w:val="20"/>
          <w:lang w:eastAsia="en-US"/>
        </w:rPr>
        <w:t>3.7.1</w:t>
      </w:r>
      <w:r w:rsidRPr="00126BD8">
        <w:rPr>
          <w:lang w:eastAsia="en-US"/>
        </w:rPr>
        <w:t xml:space="preserve"> The revised module documentation, along with a commentary on how the proposal was considered, who was involved and the revisions made as part of the scrutiny and consultation process, should be presented to the relevant School committee(s) (i.e. the S</w:t>
      </w:r>
      <w:r w:rsidR="0020138C">
        <w:rPr>
          <w:lang w:eastAsia="en-US"/>
        </w:rPr>
        <w:t xml:space="preserve">chool </w:t>
      </w:r>
      <w:r w:rsidRPr="00126BD8">
        <w:rPr>
          <w:lang w:eastAsia="en-US"/>
        </w:rPr>
        <w:t>QASC and/or the School Board) to request endorsement from the School for approval of the new module.</w:t>
      </w:r>
    </w:p>
    <w:p w14:paraId="6AB80E5F" w14:textId="6A8CBDE5" w:rsidR="00126BD8" w:rsidRPr="00126BD8" w:rsidRDefault="00126BD8" w:rsidP="00126BD8">
      <w:pPr>
        <w:rPr>
          <w:lang w:eastAsia="en-US"/>
        </w:rPr>
      </w:pPr>
      <w:r w:rsidRPr="0020138C">
        <w:rPr>
          <w:b/>
          <w:sz w:val="20"/>
          <w:szCs w:val="20"/>
          <w:lang w:eastAsia="en-US"/>
        </w:rPr>
        <w:t>3.7.2</w:t>
      </w:r>
      <w:r w:rsidRPr="00126BD8">
        <w:rPr>
          <w:lang w:eastAsia="en-US"/>
        </w:rPr>
        <w:t xml:space="preserve"> Once the School(s) has endorsed the proposal for a new module through its formal committee structures, the endorsed module documentation should be sent to the QAS office so that formal ratification by </w:t>
      </w:r>
      <w:r w:rsidR="0020138C">
        <w:rPr>
          <w:lang w:eastAsia="en-US"/>
        </w:rPr>
        <w:t xml:space="preserve">the QASC can be taken forward. </w:t>
      </w:r>
      <w:r w:rsidRPr="00126BD8">
        <w:rPr>
          <w:lang w:eastAsia="en-US"/>
        </w:rPr>
        <w:t xml:space="preserve">Each MSSI </w:t>
      </w:r>
      <w:r w:rsidRPr="00126BD8">
        <w:rPr>
          <w:u w:val="single"/>
          <w:lang w:eastAsia="en-US"/>
        </w:rPr>
        <w:t>must</w:t>
      </w:r>
      <w:r w:rsidRPr="00126BD8">
        <w:rPr>
          <w:lang w:eastAsia="en-US"/>
        </w:rPr>
        <w:t xml:space="preserve"> be provided a</w:t>
      </w:r>
      <w:r w:rsidR="0020138C">
        <w:rPr>
          <w:lang w:eastAsia="en-US"/>
        </w:rPr>
        <w:t xml:space="preserve">s a stand-alone Word document. </w:t>
      </w:r>
      <w:r w:rsidRPr="00126BD8">
        <w:rPr>
          <w:b/>
          <w:lang w:eastAsia="en-US"/>
        </w:rPr>
        <w:t>Composite documents or pdfs will not be accepted.</w:t>
      </w:r>
    </w:p>
    <w:p w14:paraId="320C3040" w14:textId="77777777" w:rsidR="00126BD8" w:rsidRPr="00126BD8" w:rsidRDefault="00126BD8" w:rsidP="0020138C">
      <w:pPr>
        <w:pStyle w:val="Heading4"/>
      </w:pPr>
      <w:bookmarkStart w:id="27" w:name="_3.8_Formal_academic"/>
      <w:bookmarkEnd w:id="27"/>
      <w:r w:rsidRPr="00126BD8">
        <w:t>3.8 Formal academic approval of the proposed new module</w:t>
      </w:r>
    </w:p>
    <w:p w14:paraId="18A3C3A5" w14:textId="36897579" w:rsidR="00126BD8" w:rsidRPr="00126BD8" w:rsidRDefault="00126BD8" w:rsidP="00126BD8">
      <w:pPr>
        <w:rPr>
          <w:lang w:eastAsia="en-US"/>
        </w:rPr>
      </w:pPr>
      <w:r w:rsidRPr="0020138C">
        <w:rPr>
          <w:b/>
          <w:sz w:val="20"/>
          <w:szCs w:val="20"/>
          <w:lang w:eastAsia="en-US"/>
        </w:rPr>
        <w:t>3.8.1</w:t>
      </w:r>
      <w:r w:rsidRPr="00126BD8">
        <w:rPr>
          <w:lang w:eastAsia="en-US"/>
        </w:rPr>
        <w:t xml:space="preserve"> The formal academic approval of new modules is the responsibility of the University QASC, acting on behalf</w:t>
      </w:r>
      <w:r w:rsidR="0020138C">
        <w:rPr>
          <w:lang w:eastAsia="en-US"/>
        </w:rPr>
        <w:t xml:space="preserve"> of the Senate. </w:t>
      </w:r>
      <w:r w:rsidRPr="00126BD8">
        <w:rPr>
          <w:lang w:eastAsia="en-US"/>
        </w:rPr>
        <w:t xml:space="preserve">The QASC will consider and review the approach by the School(s) in taking forward the development of new </w:t>
      </w:r>
      <w:proofErr w:type="gramStart"/>
      <w:r w:rsidRPr="00126BD8">
        <w:rPr>
          <w:lang w:eastAsia="en-US"/>
        </w:rPr>
        <w:t>modules, but</w:t>
      </w:r>
      <w:proofErr w:type="gramEnd"/>
      <w:r w:rsidRPr="00126BD8">
        <w:rPr>
          <w:lang w:eastAsia="en-US"/>
        </w:rPr>
        <w:t xml:space="preserve"> will not normally scrutinise individual module specifications as part of its formal role in approving module specificatio</w:t>
      </w:r>
      <w:r w:rsidR="0020138C">
        <w:rPr>
          <w:lang w:eastAsia="en-US"/>
        </w:rPr>
        <w:t xml:space="preserve">ns. </w:t>
      </w:r>
      <w:r w:rsidRPr="00126BD8">
        <w:rPr>
          <w:lang w:eastAsia="en-US"/>
        </w:rPr>
        <w:t>Although it is expected that that the scrutiny and development of module specifications will take place through robust processes led by the Schools, the QASC has the authority to query or reject any new module proposals.</w:t>
      </w:r>
    </w:p>
    <w:p w14:paraId="5D9553DA" w14:textId="77777777" w:rsidR="00126BD8" w:rsidRPr="00126BD8" w:rsidRDefault="00126BD8" w:rsidP="0020138C">
      <w:pPr>
        <w:pStyle w:val="Heading4"/>
      </w:pPr>
      <w:bookmarkStart w:id="28" w:name="_3.9_Launch_and"/>
      <w:bookmarkEnd w:id="28"/>
      <w:r w:rsidRPr="00126BD8">
        <w:t>3.9 Launch and review of the new module</w:t>
      </w:r>
    </w:p>
    <w:p w14:paraId="44BEB3E7" w14:textId="6178408B" w:rsidR="00126BD8" w:rsidRPr="00126BD8" w:rsidRDefault="00126BD8" w:rsidP="00126BD8">
      <w:pPr>
        <w:rPr>
          <w:lang w:eastAsia="en-US"/>
        </w:rPr>
      </w:pPr>
      <w:r w:rsidRPr="0020138C">
        <w:rPr>
          <w:b/>
          <w:sz w:val="20"/>
          <w:szCs w:val="20"/>
          <w:lang w:eastAsia="en-US"/>
        </w:rPr>
        <w:t>3.9.1</w:t>
      </w:r>
      <w:r w:rsidRPr="00126BD8">
        <w:rPr>
          <w:lang w:eastAsia="en-US"/>
        </w:rPr>
        <w:t xml:space="preserve"> Following QASC approval the new module may be adverti</w:t>
      </w:r>
      <w:r w:rsidR="0020138C">
        <w:rPr>
          <w:lang w:eastAsia="en-US"/>
        </w:rPr>
        <w:t xml:space="preserve">sed and delivered to students. </w:t>
      </w:r>
      <w:r w:rsidRPr="00126BD8">
        <w:rPr>
          <w:lang w:eastAsia="en-US"/>
        </w:rPr>
        <w:t>As with all taught provision, new modules wil</w:t>
      </w:r>
      <w:r w:rsidR="0020138C">
        <w:rPr>
          <w:lang w:eastAsia="en-US"/>
        </w:rPr>
        <w:t xml:space="preserve">l be part of an annual review. </w:t>
      </w:r>
      <w:r w:rsidRPr="00126BD8">
        <w:rPr>
          <w:lang w:eastAsia="en-US"/>
        </w:rPr>
        <w:t>It is expected that in the first few years this takes account of the need to look critically at the new module’s initial operation, with adjustments being made as deemed necessary.</w:t>
      </w:r>
    </w:p>
    <w:p w14:paraId="5724B375" w14:textId="6CD61193" w:rsidR="00126BD8" w:rsidRPr="00FA7C26" w:rsidRDefault="00126BD8" w:rsidP="003150A5">
      <w:pPr>
        <w:contextualSpacing/>
        <w:jc w:val="right"/>
        <w:rPr>
          <w:sz w:val="20"/>
          <w:szCs w:val="20"/>
          <w:lang w:eastAsia="en-US"/>
        </w:rPr>
      </w:pPr>
      <w:r w:rsidRPr="00FA7C26">
        <w:rPr>
          <w:sz w:val="20"/>
          <w:szCs w:val="20"/>
          <w:lang w:eastAsia="en-US"/>
        </w:rPr>
        <w:t>Dr Lesley McLellan</w:t>
      </w:r>
      <w:r w:rsidR="003150A5">
        <w:rPr>
          <w:sz w:val="20"/>
          <w:szCs w:val="20"/>
          <w:lang w:eastAsia="en-US"/>
        </w:rPr>
        <w:t xml:space="preserve">, </w:t>
      </w:r>
      <w:r w:rsidRPr="00FA7C26">
        <w:rPr>
          <w:sz w:val="20"/>
          <w:szCs w:val="20"/>
          <w:lang w:eastAsia="en-US"/>
        </w:rPr>
        <w:t>Director of Quality and Academic Standards</w:t>
      </w:r>
    </w:p>
    <w:p w14:paraId="36058511" w14:textId="77777777" w:rsidR="00126BD8" w:rsidRPr="00FA7C26" w:rsidRDefault="00126BD8" w:rsidP="003150A5">
      <w:pPr>
        <w:contextualSpacing/>
        <w:jc w:val="right"/>
        <w:rPr>
          <w:sz w:val="20"/>
          <w:szCs w:val="20"/>
          <w:lang w:eastAsia="en-US"/>
        </w:rPr>
      </w:pPr>
      <w:r w:rsidRPr="00FA7C26">
        <w:rPr>
          <w:sz w:val="20"/>
          <w:szCs w:val="20"/>
          <w:lang w:eastAsia="en-US"/>
        </w:rPr>
        <w:t>Approved by the Learning and Teaching Committee 7 March 2016</w:t>
      </w:r>
    </w:p>
    <w:p w14:paraId="0CCEB6CB" w14:textId="4B474354" w:rsidR="00126BD8" w:rsidRPr="00FA7C26" w:rsidRDefault="00126BD8" w:rsidP="003150A5">
      <w:pPr>
        <w:contextualSpacing/>
        <w:jc w:val="right"/>
        <w:rPr>
          <w:sz w:val="20"/>
          <w:szCs w:val="20"/>
          <w:lang w:eastAsia="en-US"/>
        </w:rPr>
      </w:pPr>
      <w:r w:rsidRPr="00FA7C26">
        <w:rPr>
          <w:sz w:val="20"/>
          <w:szCs w:val="20"/>
          <w:lang w:eastAsia="en-US"/>
        </w:rPr>
        <w:t>Minor revisions approved 5 Sept 2016</w:t>
      </w:r>
      <w:r w:rsidR="008C32D7">
        <w:rPr>
          <w:sz w:val="20"/>
          <w:szCs w:val="20"/>
          <w:lang w:eastAsia="en-US"/>
        </w:rPr>
        <w:t xml:space="preserve"> and 14 Nov</w:t>
      </w:r>
      <w:r w:rsidR="00FA7C26" w:rsidRPr="00FA7C26">
        <w:rPr>
          <w:sz w:val="20"/>
          <w:szCs w:val="20"/>
          <w:lang w:eastAsia="en-US"/>
        </w:rPr>
        <w:t xml:space="preserve"> 2017</w:t>
      </w:r>
    </w:p>
    <w:p w14:paraId="10D3886C" w14:textId="77777777" w:rsidR="009E0EC0" w:rsidRDefault="009E0EC0">
      <w:pPr>
        <w:spacing w:after="0"/>
        <w:jc w:val="left"/>
        <w:rPr>
          <w:lang w:eastAsia="en-US"/>
        </w:rPr>
      </w:pPr>
      <w:bookmarkStart w:id="29" w:name="_Appendix_1"/>
      <w:bookmarkEnd w:id="29"/>
      <w:r>
        <w:rPr>
          <w:lang w:eastAsia="en-US"/>
        </w:rPr>
        <w:br w:type="page"/>
      </w:r>
    </w:p>
    <w:p w14:paraId="1398FE39" w14:textId="0637415F" w:rsidR="00126BD8" w:rsidRPr="00126BD8" w:rsidRDefault="00126BD8" w:rsidP="00DF1757">
      <w:pPr>
        <w:pStyle w:val="Heading5"/>
        <w:jc w:val="right"/>
      </w:pPr>
      <w:bookmarkStart w:id="30" w:name="_Appendix_1_1"/>
      <w:bookmarkEnd w:id="30"/>
      <w:r w:rsidRPr="00126BD8">
        <w:lastRenderedPageBreak/>
        <w:t>Appendix 1</w:t>
      </w:r>
    </w:p>
    <w:p w14:paraId="6F5D8E98" w14:textId="77777777" w:rsidR="00126BD8" w:rsidRPr="009E0EC0" w:rsidRDefault="00126BD8" w:rsidP="009E0EC0">
      <w:pPr>
        <w:jc w:val="center"/>
        <w:rPr>
          <w:color w:val="3D5897"/>
          <w:sz w:val="32"/>
          <w:szCs w:val="32"/>
          <w:lang w:eastAsia="en-US"/>
        </w:rPr>
      </w:pPr>
      <w:r w:rsidRPr="009E0EC0">
        <w:rPr>
          <w:color w:val="3D5897"/>
          <w:sz w:val="32"/>
          <w:szCs w:val="32"/>
          <w:lang w:eastAsia="en-US"/>
        </w:rPr>
        <w:t>Considerations of good practice for taught programmes</w:t>
      </w:r>
    </w:p>
    <w:p w14:paraId="73345EC4" w14:textId="0363B997" w:rsidR="00126BD8" w:rsidRPr="00126BD8" w:rsidRDefault="00126BD8" w:rsidP="00126BD8">
      <w:pPr>
        <w:rPr>
          <w:lang w:eastAsia="en-US"/>
        </w:rPr>
      </w:pPr>
      <w:r w:rsidRPr="00126BD8">
        <w:rPr>
          <w:lang w:eastAsia="en-US"/>
        </w:rPr>
        <w:t>This document defines a set of considerations of good practice for the design, approval and review of taught p</w:t>
      </w:r>
      <w:r w:rsidR="00CC7FB7">
        <w:rPr>
          <w:lang w:eastAsia="en-US"/>
        </w:rPr>
        <w:t xml:space="preserve">rovision. </w:t>
      </w:r>
      <w:r w:rsidRPr="00126BD8">
        <w:rPr>
          <w:lang w:eastAsia="en-US"/>
        </w:rPr>
        <w:t>They are deliberately relativ</w:t>
      </w:r>
      <w:r w:rsidR="00CC7FB7">
        <w:rPr>
          <w:lang w:eastAsia="en-US"/>
        </w:rPr>
        <w:t xml:space="preserve">ely broad, general statements. </w:t>
      </w:r>
      <w:r w:rsidRPr="00126BD8">
        <w:rPr>
          <w:lang w:eastAsia="en-US"/>
        </w:rPr>
        <w:t>They should be interpreted and used with judgement, considering the nature and context of the particular programme(s)</w:t>
      </w:r>
      <w:r w:rsidR="00CC7FB7">
        <w:rPr>
          <w:lang w:eastAsia="en-US"/>
        </w:rPr>
        <w:t xml:space="preserve"> </w:t>
      </w:r>
      <w:r w:rsidRPr="00126BD8">
        <w:rPr>
          <w:lang w:eastAsia="en-US"/>
        </w:rPr>
        <w:t>—</w:t>
      </w:r>
      <w:r w:rsidR="00CC7FB7">
        <w:rPr>
          <w:lang w:eastAsia="en-US"/>
        </w:rPr>
        <w:t xml:space="preserve"> </w:t>
      </w:r>
      <w:r w:rsidRPr="00126BD8">
        <w:rPr>
          <w:lang w:eastAsia="en-US"/>
        </w:rPr>
        <w:t>some elements</w:t>
      </w:r>
      <w:r w:rsidR="00CC7FB7">
        <w:rPr>
          <w:lang w:eastAsia="en-US"/>
        </w:rPr>
        <w:t xml:space="preserve"> may be more or less relevant. </w:t>
      </w:r>
      <w:r w:rsidRPr="00126BD8">
        <w:rPr>
          <w:lang w:eastAsia="en-US"/>
        </w:rPr>
        <w:t>Schools are encouraged to annotate or adapt the principles to reflect devolved policy matters and the nature of subjects taught.</w:t>
      </w:r>
    </w:p>
    <w:p w14:paraId="3B2487A7" w14:textId="77777777" w:rsidR="00126BD8" w:rsidRPr="00126BD8" w:rsidRDefault="00126BD8" w:rsidP="00126BD8">
      <w:pPr>
        <w:rPr>
          <w:lang w:eastAsia="en-US"/>
        </w:rPr>
      </w:pPr>
      <w:r w:rsidRPr="00126BD8">
        <w:rPr>
          <w:lang w:eastAsia="en-US"/>
        </w:rPr>
        <w:t>They are intended to:</w:t>
      </w:r>
    </w:p>
    <w:p w14:paraId="0374F4A7" w14:textId="77777777" w:rsidR="00126BD8" w:rsidRPr="00126BD8" w:rsidRDefault="00126BD8" w:rsidP="00CC7FB7">
      <w:pPr>
        <w:numPr>
          <w:ilvl w:val="0"/>
          <w:numId w:val="4"/>
        </w:numPr>
        <w:ind w:left="714" w:hanging="357"/>
        <w:contextualSpacing/>
        <w:rPr>
          <w:lang w:eastAsia="en-US"/>
        </w:rPr>
      </w:pPr>
      <w:r w:rsidRPr="00126BD8">
        <w:rPr>
          <w:lang w:eastAsia="en-US"/>
        </w:rPr>
        <w:t>guide staff designing new programmes or reviewing existing provision;</w:t>
      </w:r>
    </w:p>
    <w:p w14:paraId="38DA5C1F" w14:textId="5593B11C" w:rsidR="00126BD8" w:rsidRPr="00126BD8" w:rsidRDefault="00126BD8" w:rsidP="00CC7FB7">
      <w:pPr>
        <w:numPr>
          <w:ilvl w:val="0"/>
          <w:numId w:val="4"/>
        </w:numPr>
        <w:ind w:left="714" w:hanging="357"/>
        <w:contextualSpacing/>
        <w:rPr>
          <w:lang w:eastAsia="en-US"/>
        </w:rPr>
      </w:pPr>
      <w:r w:rsidRPr="00126BD8">
        <w:rPr>
          <w:lang w:eastAsia="en-US"/>
        </w:rPr>
        <w:t>be a reference point for implementation of programme approval and periodic programme review; and</w:t>
      </w:r>
    </w:p>
    <w:p w14:paraId="2C0CE69B" w14:textId="0F77AB1E" w:rsidR="00126BD8" w:rsidRPr="00126BD8" w:rsidRDefault="009E220C" w:rsidP="00126BD8">
      <w:pPr>
        <w:numPr>
          <w:ilvl w:val="0"/>
          <w:numId w:val="4"/>
        </w:numPr>
        <w:rPr>
          <w:lang w:eastAsia="en-US"/>
        </w:rPr>
      </w:pPr>
      <w:r>
        <w:rPr>
          <w:lang w:eastAsia="en-US"/>
        </w:rPr>
        <w:t>provide prompts for consideration in the development of</w:t>
      </w:r>
      <w:r w:rsidR="00126BD8" w:rsidRPr="00126BD8">
        <w:rPr>
          <w:lang w:eastAsia="en-US"/>
        </w:rPr>
        <w:t xml:space="preserve"> documentation associated with programme approval and periodic programme review, following seven aspect headings.</w:t>
      </w:r>
    </w:p>
    <w:p w14:paraId="02A556F2" w14:textId="77777777" w:rsidR="00126BD8" w:rsidRPr="00126BD8" w:rsidRDefault="00126BD8" w:rsidP="00126BD8">
      <w:pPr>
        <w:rPr>
          <w:lang w:eastAsia="en-US"/>
        </w:rPr>
      </w:pPr>
      <w:r w:rsidRPr="00126BD8">
        <w:rPr>
          <w:lang w:eastAsia="en-US"/>
        </w:rPr>
        <w:t>Considerations are set out under seven aspect headings, with a brief statement of the intended focus and scope of each aspect:</w:t>
      </w:r>
    </w:p>
    <w:p w14:paraId="1C053ACA" w14:textId="7CEC60BB" w:rsidR="00126BD8" w:rsidRPr="00126BD8" w:rsidRDefault="00126BD8" w:rsidP="00CC7FB7">
      <w:pPr>
        <w:numPr>
          <w:ilvl w:val="0"/>
          <w:numId w:val="5"/>
        </w:numPr>
        <w:ind w:left="714" w:hanging="357"/>
        <w:contextualSpacing/>
        <w:rPr>
          <w:lang w:eastAsia="en-US"/>
        </w:rPr>
      </w:pPr>
      <w:r w:rsidRPr="00126BD8">
        <w:rPr>
          <w:lang w:eastAsia="en-US"/>
        </w:rPr>
        <w:t>The students</w:t>
      </w:r>
      <w:r w:rsidR="009E220C">
        <w:rPr>
          <w:lang w:eastAsia="en-US"/>
        </w:rPr>
        <w:t>.</w:t>
      </w:r>
    </w:p>
    <w:p w14:paraId="0FAD05B2" w14:textId="1347E70A" w:rsidR="00126BD8" w:rsidRPr="00126BD8" w:rsidRDefault="00126BD8" w:rsidP="00CC7FB7">
      <w:pPr>
        <w:numPr>
          <w:ilvl w:val="0"/>
          <w:numId w:val="5"/>
        </w:numPr>
        <w:ind w:left="714" w:hanging="357"/>
        <w:contextualSpacing/>
        <w:rPr>
          <w:lang w:eastAsia="en-US"/>
        </w:rPr>
      </w:pPr>
      <w:r w:rsidRPr="00126BD8">
        <w:rPr>
          <w:lang w:eastAsia="en-US"/>
        </w:rPr>
        <w:t>The curriculum</w:t>
      </w:r>
      <w:r w:rsidR="009E220C">
        <w:rPr>
          <w:lang w:eastAsia="en-US"/>
        </w:rPr>
        <w:t>.</w:t>
      </w:r>
    </w:p>
    <w:p w14:paraId="7BC02B84" w14:textId="48771CE9" w:rsidR="00126BD8" w:rsidRPr="00126BD8" w:rsidRDefault="00126BD8" w:rsidP="00CC7FB7">
      <w:pPr>
        <w:numPr>
          <w:ilvl w:val="0"/>
          <w:numId w:val="5"/>
        </w:numPr>
        <w:ind w:left="714" w:hanging="357"/>
        <w:contextualSpacing/>
        <w:rPr>
          <w:lang w:eastAsia="en-US"/>
        </w:rPr>
      </w:pPr>
      <w:r w:rsidRPr="00126BD8">
        <w:rPr>
          <w:lang w:eastAsia="en-US"/>
        </w:rPr>
        <w:t>Teaching</w:t>
      </w:r>
      <w:r w:rsidR="009E220C">
        <w:rPr>
          <w:lang w:eastAsia="en-US"/>
        </w:rPr>
        <w:t>.</w:t>
      </w:r>
    </w:p>
    <w:p w14:paraId="16526D74" w14:textId="1C9CEBEA" w:rsidR="00126BD8" w:rsidRPr="00126BD8" w:rsidRDefault="00126BD8" w:rsidP="00CC7FB7">
      <w:pPr>
        <w:numPr>
          <w:ilvl w:val="0"/>
          <w:numId w:val="5"/>
        </w:numPr>
        <w:ind w:left="714" w:hanging="357"/>
        <w:contextualSpacing/>
        <w:rPr>
          <w:lang w:eastAsia="en-US"/>
        </w:rPr>
      </w:pPr>
      <w:r w:rsidRPr="00126BD8">
        <w:rPr>
          <w:lang w:eastAsia="en-US"/>
        </w:rPr>
        <w:t>Assessment</w:t>
      </w:r>
      <w:r w:rsidR="009E220C">
        <w:rPr>
          <w:lang w:eastAsia="en-US"/>
        </w:rPr>
        <w:t>.</w:t>
      </w:r>
    </w:p>
    <w:p w14:paraId="733DB069" w14:textId="4B133E9B" w:rsidR="00126BD8" w:rsidRPr="00126BD8" w:rsidRDefault="00126BD8" w:rsidP="00CC7FB7">
      <w:pPr>
        <w:numPr>
          <w:ilvl w:val="0"/>
          <w:numId w:val="5"/>
        </w:numPr>
        <w:ind w:left="714" w:hanging="357"/>
        <w:contextualSpacing/>
        <w:rPr>
          <w:lang w:eastAsia="en-US"/>
        </w:rPr>
      </w:pPr>
      <w:r w:rsidRPr="00126BD8">
        <w:rPr>
          <w:lang w:eastAsia="en-US"/>
        </w:rPr>
        <w:t>Student support and guidance</w:t>
      </w:r>
      <w:r w:rsidR="009E220C">
        <w:rPr>
          <w:lang w:eastAsia="en-US"/>
        </w:rPr>
        <w:t>.</w:t>
      </w:r>
    </w:p>
    <w:p w14:paraId="20A5B1F8" w14:textId="3C55AEE7" w:rsidR="00126BD8" w:rsidRPr="00126BD8" w:rsidRDefault="00126BD8" w:rsidP="00CC7FB7">
      <w:pPr>
        <w:numPr>
          <w:ilvl w:val="0"/>
          <w:numId w:val="5"/>
        </w:numPr>
        <w:ind w:left="714" w:hanging="357"/>
        <w:contextualSpacing/>
        <w:rPr>
          <w:lang w:eastAsia="en-US"/>
        </w:rPr>
      </w:pPr>
      <w:r w:rsidRPr="00126BD8">
        <w:rPr>
          <w:lang w:eastAsia="en-US"/>
        </w:rPr>
        <w:t>Resources and the learning environment</w:t>
      </w:r>
      <w:r w:rsidR="009E220C">
        <w:rPr>
          <w:lang w:eastAsia="en-US"/>
        </w:rPr>
        <w:t>.</w:t>
      </w:r>
    </w:p>
    <w:p w14:paraId="0FA93A75" w14:textId="77777777" w:rsidR="00126BD8" w:rsidRPr="00126BD8" w:rsidRDefault="00126BD8" w:rsidP="00126BD8">
      <w:pPr>
        <w:numPr>
          <w:ilvl w:val="0"/>
          <w:numId w:val="5"/>
        </w:numPr>
        <w:rPr>
          <w:lang w:eastAsia="en-US"/>
        </w:rPr>
      </w:pPr>
      <w:r w:rsidRPr="00126BD8">
        <w:rPr>
          <w:lang w:eastAsia="en-US"/>
        </w:rPr>
        <w:t>Communication, management and enhancement.</w:t>
      </w:r>
    </w:p>
    <w:p w14:paraId="6A34594B" w14:textId="77777777" w:rsidR="00126BD8" w:rsidRPr="00DF1757" w:rsidRDefault="00126BD8" w:rsidP="009E0EC0">
      <w:pPr>
        <w:rPr>
          <w:b/>
          <w:color w:val="365F91" w:themeColor="accent1" w:themeShade="BF"/>
        </w:rPr>
      </w:pPr>
      <w:bookmarkStart w:id="31" w:name="_1._The_students"/>
      <w:bookmarkEnd w:id="31"/>
      <w:r w:rsidRPr="00DF1757">
        <w:rPr>
          <w:b/>
          <w:color w:val="365F91" w:themeColor="accent1" w:themeShade="BF"/>
        </w:rPr>
        <w:t>1. The students</w:t>
      </w:r>
    </w:p>
    <w:p w14:paraId="75527453" w14:textId="77777777" w:rsidR="00126BD8" w:rsidRPr="00126BD8" w:rsidRDefault="00126BD8" w:rsidP="00126BD8">
      <w:pPr>
        <w:rPr>
          <w:b/>
          <w:lang w:eastAsia="en-US"/>
        </w:rPr>
      </w:pPr>
      <w:r w:rsidRPr="00126BD8">
        <w:rPr>
          <w:b/>
          <w:lang w:eastAsia="en-US"/>
        </w:rPr>
        <w:t>Scope</w:t>
      </w:r>
    </w:p>
    <w:p w14:paraId="77458B6F" w14:textId="77777777" w:rsidR="00126BD8" w:rsidRPr="00126BD8" w:rsidRDefault="00126BD8" w:rsidP="009E0EC0">
      <w:pPr>
        <w:numPr>
          <w:ilvl w:val="0"/>
          <w:numId w:val="6"/>
        </w:numPr>
        <w:ind w:left="714" w:hanging="357"/>
        <w:contextualSpacing/>
        <w:rPr>
          <w:lang w:eastAsia="en-US"/>
        </w:rPr>
      </w:pPr>
      <w:r w:rsidRPr="00126BD8">
        <w:rPr>
          <w:lang w:eastAsia="en-US"/>
        </w:rPr>
        <w:t>numbers;</w:t>
      </w:r>
    </w:p>
    <w:p w14:paraId="4203281F" w14:textId="77777777" w:rsidR="00126BD8" w:rsidRPr="00126BD8" w:rsidRDefault="00126BD8" w:rsidP="009E0EC0">
      <w:pPr>
        <w:numPr>
          <w:ilvl w:val="0"/>
          <w:numId w:val="6"/>
        </w:numPr>
        <w:ind w:left="714" w:hanging="357"/>
        <w:contextualSpacing/>
        <w:rPr>
          <w:lang w:eastAsia="en-US"/>
        </w:rPr>
      </w:pPr>
      <w:r w:rsidRPr="00126BD8">
        <w:rPr>
          <w:lang w:eastAsia="en-US"/>
        </w:rPr>
        <w:t>characteristics;</w:t>
      </w:r>
    </w:p>
    <w:p w14:paraId="0E26FE6A" w14:textId="77777777" w:rsidR="00126BD8" w:rsidRPr="00126BD8" w:rsidRDefault="00126BD8" w:rsidP="009E0EC0">
      <w:pPr>
        <w:numPr>
          <w:ilvl w:val="0"/>
          <w:numId w:val="6"/>
        </w:numPr>
        <w:ind w:left="714" w:hanging="357"/>
        <w:contextualSpacing/>
        <w:rPr>
          <w:lang w:eastAsia="en-US"/>
        </w:rPr>
      </w:pPr>
      <w:r w:rsidRPr="00126BD8">
        <w:rPr>
          <w:lang w:eastAsia="en-US"/>
        </w:rPr>
        <w:t>needs; and</w:t>
      </w:r>
    </w:p>
    <w:p w14:paraId="08FAD11F" w14:textId="77777777" w:rsidR="00126BD8" w:rsidRPr="00126BD8" w:rsidRDefault="00126BD8" w:rsidP="00126BD8">
      <w:pPr>
        <w:numPr>
          <w:ilvl w:val="0"/>
          <w:numId w:val="6"/>
        </w:numPr>
        <w:rPr>
          <w:lang w:eastAsia="en-US"/>
        </w:rPr>
      </w:pPr>
      <w:r w:rsidRPr="00126BD8">
        <w:rPr>
          <w:lang w:eastAsia="en-US"/>
        </w:rPr>
        <w:t>recruitment, retention, progression and achievement.</w:t>
      </w:r>
    </w:p>
    <w:p w14:paraId="193556F9" w14:textId="77777777" w:rsidR="00126BD8" w:rsidRPr="00126BD8" w:rsidRDefault="00126BD8" w:rsidP="00126BD8">
      <w:pPr>
        <w:rPr>
          <w:b/>
          <w:lang w:eastAsia="en-US"/>
        </w:rPr>
      </w:pPr>
      <w:r w:rsidRPr="00126BD8">
        <w:rPr>
          <w:b/>
          <w:lang w:eastAsia="en-US"/>
        </w:rPr>
        <w:t>Good practice</w:t>
      </w:r>
    </w:p>
    <w:p w14:paraId="2E565797" w14:textId="77777777" w:rsidR="00126BD8" w:rsidRPr="00126BD8" w:rsidRDefault="00126BD8" w:rsidP="00126BD8">
      <w:pPr>
        <w:rPr>
          <w:lang w:eastAsia="en-US"/>
        </w:rPr>
      </w:pPr>
      <w:r w:rsidRPr="00126BD8">
        <w:rPr>
          <w:lang w:eastAsia="en-US"/>
        </w:rPr>
        <w:t>The curriculum and methods of teaching and assessment should be informed by systematic knowledge of:</w:t>
      </w:r>
    </w:p>
    <w:p w14:paraId="416AFA1F" w14:textId="1C00BE63" w:rsidR="00126BD8" w:rsidRDefault="00126BD8" w:rsidP="00E91AD1">
      <w:pPr>
        <w:numPr>
          <w:ilvl w:val="0"/>
          <w:numId w:val="7"/>
        </w:numPr>
        <w:contextualSpacing/>
        <w:rPr>
          <w:lang w:eastAsia="en-US"/>
        </w:rPr>
      </w:pPr>
      <w:r w:rsidRPr="00126BD8">
        <w:rPr>
          <w:lang w:eastAsia="en-US"/>
        </w:rPr>
        <w:t>the characteristics of the student intake, taking account of the range of individual abilities and needs including those of students with protected characteristics</w:t>
      </w:r>
      <w:r w:rsidRPr="00126BD8">
        <w:rPr>
          <w:vertAlign w:val="superscript"/>
          <w:lang w:eastAsia="en-US"/>
        </w:rPr>
        <w:footnoteReference w:id="5"/>
      </w:r>
      <w:r w:rsidRPr="00126BD8">
        <w:rPr>
          <w:lang w:eastAsia="en-US"/>
        </w:rPr>
        <w:t xml:space="preserve"> (see </w:t>
      </w:r>
      <w:hyperlink r:id="rId42" w:history="1">
        <w:r w:rsidR="00E91AD1" w:rsidRPr="00E91AD1">
          <w:rPr>
            <w:rStyle w:val="Hyperlink"/>
            <w:color w:val="365F91" w:themeColor="accent1" w:themeShade="BF"/>
            <w:lang w:eastAsia="en-US"/>
          </w:rPr>
          <w:t>https://www.dundee.ac.uk/qf/equality-and-diversity/</w:t>
        </w:r>
      </w:hyperlink>
      <w:r w:rsidRPr="00126BD8">
        <w:rPr>
          <w:lang w:eastAsia="en-US"/>
        </w:rPr>
        <w:t>);</w:t>
      </w:r>
    </w:p>
    <w:p w14:paraId="400A4EEE" w14:textId="77777777" w:rsidR="00126BD8" w:rsidRPr="00126BD8" w:rsidRDefault="00126BD8" w:rsidP="00E91AD1">
      <w:pPr>
        <w:numPr>
          <w:ilvl w:val="0"/>
          <w:numId w:val="7"/>
        </w:numPr>
        <w:contextualSpacing/>
        <w:rPr>
          <w:lang w:eastAsia="en-US"/>
        </w:rPr>
      </w:pPr>
      <w:r w:rsidRPr="00126BD8">
        <w:rPr>
          <w:lang w:eastAsia="en-US"/>
        </w:rPr>
        <w:t>trends in student performance, achievement and progression; and</w:t>
      </w:r>
    </w:p>
    <w:p w14:paraId="6682C7DE" w14:textId="77777777" w:rsidR="00126BD8" w:rsidRPr="00126BD8" w:rsidRDefault="00126BD8" w:rsidP="00126BD8">
      <w:pPr>
        <w:numPr>
          <w:ilvl w:val="0"/>
          <w:numId w:val="7"/>
        </w:numPr>
        <w:rPr>
          <w:lang w:eastAsia="en-US"/>
        </w:rPr>
      </w:pPr>
      <w:r w:rsidRPr="00126BD8">
        <w:rPr>
          <w:lang w:eastAsia="en-US"/>
        </w:rPr>
        <w:t>students' views and feedback.</w:t>
      </w:r>
    </w:p>
    <w:p w14:paraId="423A6D75" w14:textId="4C38103B" w:rsidR="00126BD8" w:rsidRPr="00126BD8" w:rsidRDefault="00126BD8" w:rsidP="00126BD8">
      <w:pPr>
        <w:rPr>
          <w:lang w:eastAsia="en-US"/>
        </w:rPr>
      </w:pPr>
      <w:r w:rsidRPr="00126BD8">
        <w:rPr>
          <w:lang w:eastAsia="en-US"/>
        </w:rPr>
        <w:t>The curriculum and methods of teaching and assessment should be designed to encourage and promote participation by a wide range of students, including international students and students with pro</w:t>
      </w:r>
      <w:r w:rsidR="009E0EC0">
        <w:rPr>
          <w:lang w:eastAsia="en-US"/>
        </w:rPr>
        <w:t xml:space="preserve">tected characteristics. </w:t>
      </w:r>
      <w:r w:rsidRPr="00126BD8">
        <w:rPr>
          <w:lang w:eastAsia="en-US"/>
        </w:rPr>
        <w:t xml:space="preserve">The HEA have developed a useful resource for </w:t>
      </w:r>
      <w:hyperlink r:id="rId43" w:history="1">
        <w:r w:rsidRPr="00DF1757">
          <w:rPr>
            <w:rStyle w:val="Hyperlink"/>
            <w:color w:val="365F91" w:themeColor="accent1" w:themeShade="BF"/>
            <w:lang w:eastAsia="en-US"/>
          </w:rPr>
          <w:t>Inclusive Curriculum Design in Higher Education</w:t>
        </w:r>
      </w:hyperlink>
      <w:r w:rsidRPr="00126BD8">
        <w:rPr>
          <w:lang w:eastAsia="en-US"/>
        </w:rPr>
        <w:t>.</w:t>
      </w:r>
    </w:p>
    <w:p w14:paraId="56860B3A" w14:textId="77777777" w:rsidR="00126BD8" w:rsidRPr="00DF1757" w:rsidRDefault="00126BD8" w:rsidP="00126BD8">
      <w:pPr>
        <w:rPr>
          <w:b/>
          <w:color w:val="365F91" w:themeColor="accent1" w:themeShade="BF"/>
          <w:lang w:eastAsia="en-US"/>
        </w:rPr>
      </w:pPr>
      <w:bookmarkStart w:id="32" w:name="_2._The_curriculum"/>
      <w:bookmarkEnd w:id="32"/>
      <w:r w:rsidRPr="00DF1757">
        <w:rPr>
          <w:b/>
          <w:color w:val="365F91" w:themeColor="accent1" w:themeShade="BF"/>
          <w:lang w:eastAsia="en-US"/>
        </w:rPr>
        <w:lastRenderedPageBreak/>
        <w:t>2. The curriculum</w:t>
      </w:r>
    </w:p>
    <w:p w14:paraId="6F699539" w14:textId="77777777" w:rsidR="00126BD8" w:rsidRPr="00126BD8" w:rsidRDefault="00126BD8" w:rsidP="00126BD8">
      <w:pPr>
        <w:rPr>
          <w:b/>
          <w:lang w:eastAsia="en-US"/>
        </w:rPr>
      </w:pPr>
      <w:r w:rsidRPr="00126BD8">
        <w:rPr>
          <w:b/>
          <w:lang w:eastAsia="en-US"/>
        </w:rPr>
        <w:t>Scope</w:t>
      </w:r>
    </w:p>
    <w:p w14:paraId="408E8DCA" w14:textId="77777777" w:rsidR="00126BD8" w:rsidRPr="00126BD8" w:rsidRDefault="00126BD8" w:rsidP="009E0EC0">
      <w:pPr>
        <w:numPr>
          <w:ilvl w:val="0"/>
          <w:numId w:val="8"/>
        </w:numPr>
        <w:ind w:left="714" w:hanging="357"/>
        <w:contextualSpacing/>
        <w:rPr>
          <w:lang w:eastAsia="en-US"/>
        </w:rPr>
      </w:pPr>
      <w:r w:rsidRPr="00126BD8">
        <w:rPr>
          <w:lang w:eastAsia="en-US"/>
        </w:rPr>
        <w:t>aims and intended learning outcomes;</w:t>
      </w:r>
    </w:p>
    <w:p w14:paraId="37E24F62" w14:textId="77777777" w:rsidR="00126BD8" w:rsidRPr="00126BD8" w:rsidRDefault="00126BD8" w:rsidP="009E0EC0">
      <w:pPr>
        <w:numPr>
          <w:ilvl w:val="0"/>
          <w:numId w:val="8"/>
        </w:numPr>
        <w:ind w:left="714" w:hanging="357"/>
        <w:contextualSpacing/>
        <w:rPr>
          <w:lang w:eastAsia="en-US"/>
        </w:rPr>
      </w:pPr>
      <w:r w:rsidRPr="00126BD8">
        <w:rPr>
          <w:lang w:eastAsia="en-US"/>
        </w:rPr>
        <w:t>curriculum structure, pathways and options; and</w:t>
      </w:r>
    </w:p>
    <w:p w14:paraId="000C23A5" w14:textId="77777777" w:rsidR="00126BD8" w:rsidRPr="00126BD8" w:rsidRDefault="00126BD8" w:rsidP="00126BD8">
      <w:pPr>
        <w:numPr>
          <w:ilvl w:val="0"/>
          <w:numId w:val="8"/>
        </w:numPr>
        <w:rPr>
          <w:lang w:eastAsia="en-US"/>
        </w:rPr>
      </w:pPr>
      <w:r w:rsidRPr="00126BD8">
        <w:rPr>
          <w:lang w:eastAsia="en-US"/>
        </w:rPr>
        <w:t>credit rating.</w:t>
      </w:r>
    </w:p>
    <w:p w14:paraId="6CC01787" w14:textId="77777777" w:rsidR="00126BD8" w:rsidRPr="00126BD8" w:rsidRDefault="00126BD8" w:rsidP="00126BD8">
      <w:pPr>
        <w:rPr>
          <w:b/>
          <w:lang w:eastAsia="en-US"/>
        </w:rPr>
      </w:pPr>
      <w:r w:rsidRPr="00126BD8">
        <w:rPr>
          <w:b/>
          <w:lang w:eastAsia="en-US"/>
        </w:rPr>
        <w:t>Good practice</w:t>
      </w:r>
    </w:p>
    <w:p w14:paraId="205384CA" w14:textId="77777777" w:rsidR="00126BD8" w:rsidRPr="00126BD8" w:rsidRDefault="00126BD8" w:rsidP="00126BD8">
      <w:pPr>
        <w:rPr>
          <w:lang w:eastAsia="en-US"/>
        </w:rPr>
      </w:pPr>
      <w:r w:rsidRPr="00126BD8">
        <w:rPr>
          <w:lang w:eastAsia="en-US"/>
        </w:rPr>
        <w:t>The curriculum should be appropriate with respect to relevant reference policies:</w:t>
      </w:r>
    </w:p>
    <w:p w14:paraId="3F1A0C7B" w14:textId="77777777" w:rsidR="00126BD8" w:rsidRPr="00126BD8" w:rsidRDefault="00126BD8" w:rsidP="009E0EC0">
      <w:pPr>
        <w:numPr>
          <w:ilvl w:val="0"/>
          <w:numId w:val="9"/>
        </w:numPr>
        <w:ind w:left="714" w:hanging="357"/>
        <w:contextualSpacing/>
        <w:rPr>
          <w:lang w:eastAsia="en-US"/>
        </w:rPr>
      </w:pPr>
      <w:r w:rsidRPr="00126BD8">
        <w:rPr>
          <w:lang w:eastAsia="en-US"/>
        </w:rPr>
        <w:t>internal policies of the University and any relevant School policy;</w:t>
      </w:r>
    </w:p>
    <w:p w14:paraId="655D8F04" w14:textId="77777777" w:rsidR="00126BD8" w:rsidRPr="00126BD8" w:rsidRDefault="00126BD8" w:rsidP="009E0EC0">
      <w:pPr>
        <w:numPr>
          <w:ilvl w:val="0"/>
          <w:numId w:val="9"/>
        </w:numPr>
        <w:ind w:left="714" w:hanging="357"/>
        <w:contextualSpacing/>
        <w:rPr>
          <w:lang w:eastAsia="en-US"/>
        </w:rPr>
      </w:pPr>
      <w:r w:rsidRPr="00126BD8">
        <w:rPr>
          <w:lang w:eastAsia="en-US"/>
        </w:rPr>
        <w:t>external generic policy, in particular the Scottish Credit and Qualifications Framework; and</w:t>
      </w:r>
    </w:p>
    <w:p w14:paraId="51447F78" w14:textId="77777777" w:rsidR="00126BD8" w:rsidRPr="00126BD8" w:rsidRDefault="00126BD8" w:rsidP="00126BD8">
      <w:pPr>
        <w:numPr>
          <w:ilvl w:val="0"/>
          <w:numId w:val="9"/>
        </w:numPr>
        <w:rPr>
          <w:lang w:eastAsia="en-US"/>
        </w:rPr>
      </w:pPr>
      <w:r w:rsidRPr="00126BD8">
        <w:rPr>
          <w:lang w:eastAsia="en-US"/>
        </w:rPr>
        <w:t>external subject-related policies, in particular relevant QAA Subject Benchmark statements and any relevant professional or statutory body criteria.</w:t>
      </w:r>
    </w:p>
    <w:p w14:paraId="4BDAF177" w14:textId="77777777" w:rsidR="00126BD8" w:rsidRPr="00126BD8" w:rsidRDefault="00126BD8" w:rsidP="00126BD8">
      <w:pPr>
        <w:rPr>
          <w:lang w:eastAsia="en-US"/>
        </w:rPr>
      </w:pPr>
      <w:r w:rsidRPr="00126BD8">
        <w:rPr>
          <w:lang w:eastAsia="en-US"/>
        </w:rPr>
        <w:t xml:space="preserve">The curriculum should be appropriate to: </w:t>
      </w:r>
    </w:p>
    <w:p w14:paraId="296E3806" w14:textId="77777777" w:rsidR="00126BD8" w:rsidRPr="00126BD8" w:rsidRDefault="00126BD8" w:rsidP="009E0EC0">
      <w:pPr>
        <w:numPr>
          <w:ilvl w:val="0"/>
          <w:numId w:val="10"/>
        </w:numPr>
        <w:ind w:left="714" w:hanging="357"/>
        <w:contextualSpacing/>
        <w:rPr>
          <w:lang w:eastAsia="en-US"/>
        </w:rPr>
      </w:pPr>
      <w:r w:rsidRPr="00126BD8">
        <w:rPr>
          <w:lang w:eastAsia="en-US"/>
        </w:rPr>
        <w:t>the abilities and needs of the range of students admitted; and</w:t>
      </w:r>
    </w:p>
    <w:p w14:paraId="04681733" w14:textId="77777777" w:rsidR="00126BD8" w:rsidRPr="00126BD8" w:rsidRDefault="00126BD8" w:rsidP="00126BD8">
      <w:pPr>
        <w:numPr>
          <w:ilvl w:val="0"/>
          <w:numId w:val="10"/>
        </w:numPr>
        <w:rPr>
          <w:lang w:eastAsia="en-US"/>
        </w:rPr>
      </w:pPr>
      <w:r w:rsidRPr="00126BD8">
        <w:rPr>
          <w:lang w:eastAsia="en-US"/>
        </w:rPr>
        <w:t>the employment needs of graduates of the future.</w:t>
      </w:r>
    </w:p>
    <w:p w14:paraId="284EAAEA" w14:textId="58F0D5E0" w:rsidR="00126BD8" w:rsidRPr="00126BD8" w:rsidRDefault="00126BD8" w:rsidP="00126BD8">
      <w:pPr>
        <w:rPr>
          <w:lang w:eastAsia="en-US"/>
        </w:rPr>
      </w:pPr>
      <w:r w:rsidRPr="00126BD8">
        <w:rPr>
          <w:lang w:eastAsia="en-US"/>
        </w:rPr>
        <w:t>The curriculum should be coherent</w:t>
      </w:r>
      <w:r w:rsidR="0054399B">
        <w:rPr>
          <w:lang w:eastAsia="en-US"/>
        </w:rPr>
        <w:t xml:space="preserve"> </w:t>
      </w:r>
      <w:r w:rsidRPr="00126BD8">
        <w:rPr>
          <w:lang w:eastAsia="en-US"/>
        </w:rPr>
        <w:t>—</w:t>
      </w:r>
      <w:r w:rsidR="0054399B">
        <w:rPr>
          <w:lang w:eastAsia="en-US"/>
        </w:rPr>
        <w:t xml:space="preserve"> </w:t>
      </w:r>
      <w:r w:rsidRPr="00126BD8">
        <w:rPr>
          <w:lang w:eastAsia="en-US"/>
        </w:rPr>
        <w:t>component modules and pathways through the programme should be designed to fit with the overall aims and intended learning outcomes of the programme.</w:t>
      </w:r>
    </w:p>
    <w:p w14:paraId="6CFF8D00" w14:textId="77777777" w:rsidR="00126BD8" w:rsidRPr="00126BD8" w:rsidRDefault="00126BD8" w:rsidP="00126BD8">
      <w:pPr>
        <w:rPr>
          <w:lang w:eastAsia="en-US"/>
        </w:rPr>
      </w:pPr>
      <w:r w:rsidRPr="00126BD8">
        <w:rPr>
          <w:lang w:eastAsia="en-US"/>
        </w:rPr>
        <w:t>The curriculum should promote achievement and progression:</w:t>
      </w:r>
    </w:p>
    <w:p w14:paraId="22D12978" w14:textId="77777777" w:rsidR="00126BD8" w:rsidRPr="00126BD8" w:rsidRDefault="00126BD8" w:rsidP="0054399B">
      <w:pPr>
        <w:numPr>
          <w:ilvl w:val="0"/>
          <w:numId w:val="11"/>
        </w:numPr>
        <w:ind w:left="714" w:hanging="357"/>
        <w:contextualSpacing/>
        <w:rPr>
          <w:lang w:eastAsia="en-US"/>
        </w:rPr>
      </w:pPr>
      <w:r w:rsidRPr="00126BD8">
        <w:rPr>
          <w:lang w:eastAsia="en-US"/>
        </w:rPr>
        <w:t>by all students admitted; and</w:t>
      </w:r>
    </w:p>
    <w:p w14:paraId="4D30ACCC" w14:textId="77777777" w:rsidR="00126BD8" w:rsidRPr="00126BD8" w:rsidRDefault="00126BD8" w:rsidP="00126BD8">
      <w:pPr>
        <w:numPr>
          <w:ilvl w:val="0"/>
          <w:numId w:val="11"/>
        </w:numPr>
        <w:rPr>
          <w:lang w:eastAsia="en-US"/>
        </w:rPr>
      </w:pPr>
      <w:r w:rsidRPr="00126BD8">
        <w:rPr>
          <w:lang w:eastAsia="en-US"/>
        </w:rPr>
        <w:t>of all intended outcomes at the appropriate level.</w:t>
      </w:r>
    </w:p>
    <w:p w14:paraId="5F61DD88" w14:textId="77777777" w:rsidR="00126BD8" w:rsidRPr="00DF1757" w:rsidRDefault="00126BD8" w:rsidP="00126BD8">
      <w:pPr>
        <w:rPr>
          <w:b/>
          <w:color w:val="365F91" w:themeColor="accent1" w:themeShade="BF"/>
          <w:lang w:eastAsia="en-US"/>
        </w:rPr>
      </w:pPr>
      <w:bookmarkStart w:id="33" w:name="_3._Teaching"/>
      <w:bookmarkEnd w:id="33"/>
      <w:r w:rsidRPr="00DF1757">
        <w:rPr>
          <w:b/>
          <w:color w:val="365F91" w:themeColor="accent1" w:themeShade="BF"/>
          <w:lang w:eastAsia="en-US"/>
        </w:rPr>
        <w:t>3. Teaching</w:t>
      </w:r>
    </w:p>
    <w:p w14:paraId="487C98ED" w14:textId="77777777" w:rsidR="00126BD8" w:rsidRPr="00126BD8" w:rsidRDefault="00126BD8" w:rsidP="00126BD8">
      <w:pPr>
        <w:rPr>
          <w:b/>
          <w:lang w:eastAsia="en-US"/>
        </w:rPr>
      </w:pPr>
      <w:r w:rsidRPr="00126BD8">
        <w:rPr>
          <w:b/>
          <w:lang w:eastAsia="en-US"/>
        </w:rPr>
        <w:t>Scope</w:t>
      </w:r>
    </w:p>
    <w:p w14:paraId="6F0392DD" w14:textId="0BBDB2FA" w:rsidR="00126BD8" w:rsidRPr="00126BD8" w:rsidRDefault="00126BD8" w:rsidP="00126BD8">
      <w:pPr>
        <w:rPr>
          <w:lang w:eastAsia="en-US"/>
        </w:rPr>
      </w:pPr>
      <w:r w:rsidRPr="00126BD8">
        <w:rPr>
          <w:lang w:eastAsia="en-US"/>
        </w:rPr>
        <w:t>Methods of teaching employed across the curriculum</w:t>
      </w:r>
      <w:r w:rsidR="0054399B">
        <w:rPr>
          <w:lang w:eastAsia="en-US"/>
        </w:rPr>
        <w:t>.</w:t>
      </w:r>
    </w:p>
    <w:p w14:paraId="77260F29" w14:textId="77777777" w:rsidR="00126BD8" w:rsidRPr="00126BD8" w:rsidRDefault="00126BD8" w:rsidP="00126BD8">
      <w:pPr>
        <w:rPr>
          <w:b/>
          <w:lang w:eastAsia="en-US"/>
        </w:rPr>
      </w:pPr>
      <w:r w:rsidRPr="00126BD8">
        <w:rPr>
          <w:b/>
          <w:lang w:eastAsia="en-US"/>
        </w:rPr>
        <w:t>Good practice</w:t>
      </w:r>
    </w:p>
    <w:p w14:paraId="0A2080DF" w14:textId="77777777" w:rsidR="00126BD8" w:rsidRPr="00126BD8" w:rsidRDefault="00126BD8" w:rsidP="00126BD8">
      <w:pPr>
        <w:rPr>
          <w:lang w:eastAsia="en-US"/>
        </w:rPr>
      </w:pPr>
      <w:r w:rsidRPr="00126BD8">
        <w:rPr>
          <w:lang w:eastAsia="en-US"/>
        </w:rPr>
        <w:t>Methods of teaching should be aligned with:</w:t>
      </w:r>
    </w:p>
    <w:p w14:paraId="1BFCB0EC" w14:textId="016C7356" w:rsidR="00126BD8" w:rsidRPr="00126BD8" w:rsidRDefault="00126BD8" w:rsidP="0054399B">
      <w:pPr>
        <w:numPr>
          <w:ilvl w:val="0"/>
          <w:numId w:val="12"/>
        </w:numPr>
        <w:ind w:left="714" w:hanging="357"/>
        <w:contextualSpacing/>
        <w:rPr>
          <w:lang w:eastAsia="en-US"/>
        </w:rPr>
      </w:pPr>
      <w:r w:rsidRPr="00126BD8">
        <w:rPr>
          <w:lang w:eastAsia="en-US"/>
        </w:rPr>
        <w:t>the curriculum</w:t>
      </w:r>
      <w:r w:rsidR="0054399B">
        <w:rPr>
          <w:lang w:eastAsia="en-US"/>
        </w:rPr>
        <w:t xml:space="preserve"> </w:t>
      </w:r>
      <w:r w:rsidRPr="00126BD8">
        <w:rPr>
          <w:lang w:eastAsia="en-US"/>
        </w:rPr>
        <w:t>—</w:t>
      </w:r>
      <w:r w:rsidR="0054399B">
        <w:rPr>
          <w:lang w:eastAsia="en-US"/>
        </w:rPr>
        <w:t xml:space="preserve"> </w:t>
      </w:r>
      <w:r w:rsidRPr="00126BD8">
        <w:rPr>
          <w:lang w:eastAsia="en-US"/>
        </w:rPr>
        <w:t>its aims and intended learning outcomes;</w:t>
      </w:r>
    </w:p>
    <w:p w14:paraId="481C1345" w14:textId="3C0A2A6A" w:rsidR="00126BD8" w:rsidRPr="00126BD8" w:rsidRDefault="00126BD8" w:rsidP="0054399B">
      <w:pPr>
        <w:numPr>
          <w:ilvl w:val="0"/>
          <w:numId w:val="12"/>
        </w:numPr>
        <w:ind w:left="714" w:hanging="357"/>
        <w:contextualSpacing/>
        <w:rPr>
          <w:lang w:eastAsia="en-US"/>
        </w:rPr>
      </w:pPr>
      <w:r w:rsidRPr="00126BD8">
        <w:rPr>
          <w:lang w:eastAsia="en-US"/>
        </w:rPr>
        <w:t>the students</w:t>
      </w:r>
      <w:r w:rsidR="0054399B">
        <w:rPr>
          <w:lang w:eastAsia="en-US"/>
        </w:rPr>
        <w:t xml:space="preserve"> </w:t>
      </w:r>
      <w:r w:rsidRPr="00126BD8">
        <w:rPr>
          <w:lang w:eastAsia="en-US"/>
        </w:rPr>
        <w:t>—</w:t>
      </w:r>
      <w:r w:rsidR="0054399B">
        <w:rPr>
          <w:lang w:eastAsia="en-US"/>
        </w:rPr>
        <w:t xml:space="preserve"> </w:t>
      </w:r>
      <w:r w:rsidRPr="00126BD8">
        <w:rPr>
          <w:lang w:eastAsia="en-US"/>
        </w:rPr>
        <w:t>their abilities and needs;</w:t>
      </w:r>
    </w:p>
    <w:p w14:paraId="781C071E" w14:textId="77777777" w:rsidR="00126BD8" w:rsidRPr="00126BD8" w:rsidRDefault="00126BD8" w:rsidP="0054399B">
      <w:pPr>
        <w:numPr>
          <w:ilvl w:val="0"/>
          <w:numId w:val="12"/>
        </w:numPr>
        <w:ind w:left="714" w:hanging="357"/>
        <w:contextualSpacing/>
        <w:rPr>
          <w:lang w:eastAsia="en-US"/>
        </w:rPr>
      </w:pPr>
      <w:r w:rsidRPr="00126BD8">
        <w:rPr>
          <w:lang w:eastAsia="en-US"/>
        </w:rPr>
        <w:t>methods of assessment; and</w:t>
      </w:r>
    </w:p>
    <w:p w14:paraId="664A0DEC" w14:textId="77777777" w:rsidR="00126BD8" w:rsidRPr="00126BD8" w:rsidRDefault="00126BD8" w:rsidP="00126BD8">
      <w:pPr>
        <w:numPr>
          <w:ilvl w:val="0"/>
          <w:numId w:val="12"/>
        </w:numPr>
        <w:rPr>
          <w:lang w:eastAsia="en-US"/>
        </w:rPr>
      </w:pPr>
      <w:r w:rsidRPr="00126BD8">
        <w:rPr>
          <w:lang w:eastAsia="en-US"/>
        </w:rPr>
        <w:t>the resources available.</w:t>
      </w:r>
    </w:p>
    <w:p w14:paraId="4204F2AC" w14:textId="77777777" w:rsidR="00126BD8" w:rsidRPr="00126BD8" w:rsidRDefault="00126BD8" w:rsidP="00126BD8">
      <w:pPr>
        <w:rPr>
          <w:lang w:eastAsia="en-US"/>
        </w:rPr>
      </w:pPr>
      <w:r w:rsidRPr="00126BD8">
        <w:rPr>
          <w:lang w:eastAsia="en-US"/>
        </w:rPr>
        <w:t>Teaching should promote achievement:</w:t>
      </w:r>
    </w:p>
    <w:p w14:paraId="52DE8574" w14:textId="77777777" w:rsidR="00126BD8" w:rsidRPr="00126BD8" w:rsidRDefault="00126BD8" w:rsidP="0054399B">
      <w:pPr>
        <w:numPr>
          <w:ilvl w:val="0"/>
          <w:numId w:val="13"/>
        </w:numPr>
        <w:ind w:left="714" w:hanging="357"/>
        <w:contextualSpacing/>
        <w:rPr>
          <w:lang w:eastAsia="en-US"/>
        </w:rPr>
      </w:pPr>
      <w:r w:rsidRPr="00126BD8">
        <w:rPr>
          <w:lang w:eastAsia="en-US"/>
        </w:rPr>
        <w:t>of all intended outcomes at the appropriate level; and</w:t>
      </w:r>
    </w:p>
    <w:p w14:paraId="3DB28C3B" w14:textId="77777777" w:rsidR="00126BD8" w:rsidRPr="00126BD8" w:rsidRDefault="00126BD8" w:rsidP="00126BD8">
      <w:pPr>
        <w:numPr>
          <w:ilvl w:val="0"/>
          <w:numId w:val="13"/>
        </w:numPr>
        <w:rPr>
          <w:lang w:eastAsia="en-US"/>
        </w:rPr>
      </w:pPr>
      <w:r w:rsidRPr="00126BD8">
        <w:rPr>
          <w:lang w:eastAsia="en-US"/>
        </w:rPr>
        <w:t>by all students admitted.</w:t>
      </w:r>
    </w:p>
    <w:p w14:paraId="05BA8C27" w14:textId="77777777" w:rsidR="00126BD8" w:rsidRPr="00126BD8" w:rsidRDefault="00126BD8" w:rsidP="00126BD8">
      <w:pPr>
        <w:rPr>
          <w:lang w:eastAsia="en-US"/>
        </w:rPr>
      </w:pPr>
      <w:r w:rsidRPr="00126BD8">
        <w:rPr>
          <w:lang w:eastAsia="en-US"/>
        </w:rPr>
        <w:t xml:space="preserve">Staff should be encouraged and expected to: </w:t>
      </w:r>
    </w:p>
    <w:p w14:paraId="609F6A0A" w14:textId="77777777" w:rsidR="00126BD8" w:rsidRPr="00126BD8" w:rsidRDefault="00126BD8" w:rsidP="0054399B">
      <w:pPr>
        <w:numPr>
          <w:ilvl w:val="0"/>
          <w:numId w:val="14"/>
        </w:numPr>
        <w:ind w:left="714" w:hanging="357"/>
        <w:contextualSpacing/>
        <w:rPr>
          <w:lang w:eastAsia="en-US"/>
        </w:rPr>
      </w:pPr>
      <w:r w:rsidRPr="00126BD8">
        <w:rPr>
          <w:lang w:eastAsia="en-US"/>
        </w:rPr>
        <w:t>evaluate the effectiveness of their own approaches and methods in promoting student learning; and</w:t>
      </w:r>
    </w:p>
    <w:p w14:paraId="5EB3F279" w14:textId="77777777" w:rsidR="00126BD8" w:rsidRPr="00126BD8" w:rsidRDefault="00126BD8" w:rsidP="00126BD8">
      <w:pPr>
        <w:numPr>
          <w:ilvl w:val="0"/>
          <w:numId w:val="14"/>
        </w:numPr>
        <w:rPr>
          <w:lang w:eastAsia="en-US"/>
        </w:rPr>
      </w:pPr>
      <w:r w:rsidRPr="00126BD8">
        <w:rPr>
          <w:lang w:eastAsia="en-US"/>
        </w:rPr>
        <w:t>develop their approaches and methods to improve student learning.</w:t>
      </w:r>
    </w:p>
    <w:p w14:paraId="3869FAED" w14:textId="77777777" w:rsidR="00126BD8" w:rsidRPr="00DF1757" w:rsidRDefault="00126BD8" w:rsidP="00126BD8">
      <w:pPr>
        <w:rPr>
          <w:b/>
          <w:color w:val="365F91" w:themeColor="accent1" w:themeShade="BF"/>
          <w:lang w:eastAsia="en-US"/>
        </w:rPr>
      </w:pPr>
      <w:bookmarkStart w:id="34" w:name="_4._Assessment"/>
      <w:bookmarkEnd w:id="34"/>
      <w:r w:rsidRPr="00DF1757">
        <w:rPr>
          <w:b/>
          <w:color w:val="365F91" w:themeColor="accent1" w:themeShade="BF"/>
          <w:lang w:eastAsia="en-US"/>
        </w:rPr>
        <w:t>4. Assessment</w:t>
      </w:r>
    </w:p>
    <w:p w14:paraId="54CC304F" w14:textId="77777777" w:rsidR="00126BD8" w:rsidRPr="00126BD8" w:rsidRDefault="00126BD8" w:rsidP="00126BD8">
      <w:pPr>
        <w:rPr>
          <w:b/>
          <w:lang w:eastAsia="en-US"/>
        </w:rPr>
      </w:pPr>
      <w:r w:rsidRPr="00126BD8">
        <w:rPr>
          <w:b/>
          <w:lang w:eastAsia="en-US"/>
        </w:rPr>
        <w:t>Scope</w:t>
      </w:r>
    </w:p>
    <w:p w14:paraId="38663B37" w14:textId="19E154ED" w:rsidR="00126BD8" w:rsidRPr="00126BD8" w:rsidRDefault="00126BD8" w:rsidP="00126BD8">
      <w:pPr>
        <w:rPr>
          <w:lang w:eastAsia="en-US"/>
        </w:rPr>
      </w:pPr>
      <w:r w:rsidRPr="00126BD8">
        <w:rPr>
          <w:lang w:eastAsia="en-US"/>
        </w:rPr>
        <w:t>Methods of assessment employed across the curriculum</w:t>
      </w:r>
      <w:r w:rsidR="0054399B">
        <w:rPr>
          <w:lang w:eastAsia="en-US"/>
        </w:rPr>
        <w:t>.</w:t>
      </w:r>
    </w:p>
    <w:p w14:paraId="44FA71C4" w14:textId="77777777" w:rsidR="00126BD8" w:rsidRPr="00126BD8" w:rsidRDefault="00126BD8" w:rsidP="00126BD8">
      <w:pPr>
        <w:rPr>
          <w:b/>
          <w:lang w:eastAsia="en-US"/>
        </w:rPr>
      </w:pPr>
      <w:r w:rsidRPr="00126BD8">
        <w:rPr>
          <w:b/>
          <w:lang w:eastAsia="en-US"/>
        </w:rPr>
        <w:t>Good practice</w:t>
      </w:r>
    </w:p>
    <w:p w14:paraId="56EB3C4D" w14:textId="77777777" w:rsidR="00126BD8" w:rsidRPr="00126BD8" w:rsidRDefault="00126BD8" w:rsidP="00126BD8">
      <w:pPr>
        <w:rPr>
          <w:lang w:eastAsia="en-US"/>
        </w:rPr>
      </w:pPr>
      <w:r w:rsidRPr="00126BD8">
        <w:rPr>
          <w:lang w:eastAsia="en-US"/>
        </w:rPr>
        <w:lastRenderedPageBreak/>
        <w:t>Methods of assessment should be aligned with:</w:t>
      </w:r>
    </w:p>
    <w:p w14:paraId="1975367C" w14:textId="77777777" w:rsidR="00126BD8" w:rsidRPr="00126BD8" w:rsidRDefault="00126BD8" w:rsidP="0054399B">
      <w:pPr>
        <w:numPr>
          <w:ilvl w:val="0"/>
          <w:numId w:val="15"/>
        </w:numPr>
        <w:ind w:left="714" w:hanging="357"/>
        <w:contextualSpacing/>
        <w:rPr>
          <w:lang w:eastAsia="en-US"/>
        </w:rPr>
      </w:pPr>
      <w:r w:rsidRPr="00126BD8">
        <w:rPr>
          <w:lang w:eastAsia="en-US"/>
        </w:rPr>
        <w:t>the curriculum: aims and intended learning outcomes and level of study (with reference to relevant reference policies -see 'Curriculum', above);</w:t>
      </w:r>
    </w:p>
    <w:p w14:paraId="40B7E4BA" w14:textId="77777777" w:rsidR="00126BD8" w:rsidRPr="00126BD8" w:rsidRDefault="00126BD8" w:rsidP="0054399B">
      <w:pPr>
        <w:numPr>
          <w:ilvl w:val="0"/>
          <w:numId w:val="15"/>
        </w:numPr>
        <w:ind w:left="714" w:hanging="357"/>
        <w:contextualSpacing/>
        <w:rPr>
          <w:lang w:eastAsia="en-US"/>
        </w:rPr>
      </w:pPr>
      <w:r w:rsidRPr="00126BD8">
        <w:rPr>
          <w:lang w:eastAsia="en-US"/>
        </w:rPr>
        <w:t>teaching methods; and</w:t>
      </w:r>
    </w:p>
    <w:p w14:paraId="69CE7774" w14:textId="77777777" w:rsidR="00126BD8" w:rsidRPr="00126BD8" w:rsidRDefault="00126BD8" w:rsidP="00126BD8">
      <w:pPr>
        <w:numPr>
          <w:ilvl w:val="0"/>
          <w:numId w:val="15"/>
        </w:numPr>
        <w:rPr>
          <w:lang w:eastAsia="en-US"/>
        </w:rPr>
      </w:pPr>
      <w:r w:rsidRPr="00126BD8">
        <w:rPr>
          <w:lang w:eastAsia="en-US"/>
        </w:rPr>
        <w:t>the resources available.</w:t>
      </w:r>
    </w:p>
    <w:p w14:paraId="30C98CB6" w14:textId="77777777" w:rsidR="00126BD8" w:rsidRPr="00126BD8" w:rsidRDefault="00126BD8" w:rsidP="00126BD8">
      <w:pPr>
        <w:rPr>
          <w:lang w:eastAsia="en-US"/>
        </w:rPr>
      </w:pPr>
      <w:r w:rsidRPr="00126BD8">
        <w:rPr>
          <w:lang w:eastAsia="en-US"/>
        </w:rPr>
        <w:t>Assessment should:</w:t>
      </w:r>
    </w:p>
    <w:p w14:paraId="3F27E75A" w14:textId="77777777" w:rsidR="00126BD8" w:rsidRPr="00126BD8" w:rsidRDefault="00126BD8" w:rsidP="0054399B">
      <w:pPr>
        <w:numPr>
          <w:ilvl w:val="0"/>
          <w:numId w:val="16"/>
        </w:numPr>
        <w:ind w:left="714" w:hanging="357"/>
        <w:contextualSpacing/>
        <w:rPr>
          <w:lang w:eastAsia="en-US"/>
        </w:rPr>
      </w:pPr>
      <w:r w:rsidRPr="00126BD8">
        <w:rPr>
          <w:lang w:eastAsia="en-US"/>
        </w:rPr>
        <w:t>promote effective learning by students; and</w:t>
      </w:r>
    </w:p>
    <w:p w14:paraId="78E33B3D" w14:textId="77777777" w:rsidR="00126BD8" w:rsidRPr="00126BD8" w:rsidRDefault="00126BD8" w:rsidP="00126BD8">
      <w:pPr>
        <w:numPr>
          <w:ilvl w:val="0"/>
          <w:numId w:val="16"/>
        </w:numPr>
        <w:rPr>
          <w:lang w:eastAsia="en-US"/>
        </w:rPr>
      </w:pPr>
      <w:r w:rsidRPr="00126BD8">
        <w:rPr>
          <w:lang w:eastAsia="en-US"/>
        </w:rPr>
        <w:t>include formative elements that enable students to measure the development of their learning.</w:t>
      </w:r>
    </w:p>
    <w:p w14:paraId="4064814E" w14:textId="77777777" w:rsidR="00126BD8" w:rsidRPr="00126BD8" w:rsidRDefault="00126BD8" w:rsidP="00126BD8">
      <w:pPr>
        <w:rPr>
          <w:lang w:eastAsia="en-US"/>
        </w:rPr>
      </w:pPr>
      <w:r w:rsidRPr="00126BD8">
        <w:rPr>
          <w:lang w:eastAsia="en-US"/>
        </w:rPr>
        <w:t>Students should be provided with clear information regarding assessment tasks (examinations and coursework) and marking criteria.</w:t>
      </w:r>
    </w:p>
    <w:p w14:paraId="6AC167C6" w14:textId="77777777" w:rsidR="00126BD8" w:rsidRPr="00126BD8" w:rsidRDefault="00126BD8" w:rsidP="00126BD8">
      <w:pPr>
        <w:rPr>
          <w:lang w:eastAsia="en-US"/>
        </w:rPr>
      </w:pPr>
      <w:r w:rsidRPr="00126BD8">
        <w:rPr>
          <w:lang w:eastAsia="en-US"/>
        </w:rPr>
        <w:t>Assessment tasks (examinations and coursework assignments) and marking should be effectively moderated internally and externally.</w:t>
      </w:r>
    </w:p>
    <w:p w14:paraId="18B6F9FD" w14:textId="77777777" w:rsidR="00126BD8" w:rsidRPr="00126BD8" w:rsidRDefault="00126BD8" w:rsidP="00126BD8">
      <w:pPr>
        <w:rPr>
          <w:lang w:eastAsia="en-US"/>
        </w:rPr>
      </w:pPr>
      <w:r w:rsidRPr="00126BD8">
        <w:rPr>
          <w:lang w:eastAsia="en-US"/>
        </w:rPr>
        <w:t>Regarding assessed coursework:</w:t>
      </w:r>
    </w:p>
    <w:p w14:paraId="3EA11755" w14:textId="77777777" w:rsidR="00126BD8" w:rsidRPr="00126BD8" w:rsidRDefault="00126BD8" w:rsidP="0054399B">
      <w:pPr>
        <w:numPr>
          <w:ilvl w:val="0"/>
          <w:numId w:val="17"/>
        </w:numPr>
        <w:ind w:left="714" w:hanging="357"/>
        <w:contextualSpacing/>
        <w:rPr>
          <w:lang w:eastAsia="en-US"/>
        </w:rPr>
      </w:pPr>
      <w:r w:rsidRPr="00126BD8">
        <w:rPr>
          <w:lang w:eastAsia="en-US"/>
        </w:rPr>
        <w:t>student workload associated with assessed coursework should be appropriate to the credit rating of the module;</w:t>
      </w:r>
    </w:p>
    <w:p w14:paraId="4508E91A" w14:textId="77777777" w:rsidR="00126BD8" w:rsidRPr="00126BD8" w:rsidRDefault="00126BD8" w:rsidP="0054399B">
      <w:pPr>
        <w:numPr>
          <w:ilvl w:val="0"/>
          <w:numId w:val="17"/>
        </w:numPr>
        <w:ind w:left="714" w:hanging="357"/>
        <w:contextualSpacing/>
        <w:rPr>
          <w:lang w:eastAsia="en-US"/>
        </w:rPr>
      </w:pPr>
      <w:r w:rsidRPr="00126BD8">
        <w:rPr>
          <w:lang w:eastAsia="en-US"/>
        </w:rPr>
        <w:t>assessed coursework assignments should be scheduled in ways that enable students to complete them effectively, taking account of their full load of modules;</w:t>
      </w:r>
    </w:p>
    <w:p w14:paraId="01E36064" w14:textId="77777777" w:rsidR="00126BD8" w:rsidRPr="00126BD8" w:rsidRDefault="00126BD8" w:rsidP="0054399B">
      <w:pPr>
        <w:numPr>
          <w:ilvl w:val="0"/>
          <w:numId w:val="17"/>
        </w:numPr>
        <w:ind w:left="714" w:hanging="357"/>
        <w:contextualSpacing/>
        <w:rPr>
          <w:lang w:eastAsia="en-US"/>
        </w:rPr>
      </w:pPr>
      <w:r w:rsidRPr="00126BD8">
        <w:rPr>
          <w:lang w:eastAsia="en-US"/>
        </w:rPr>
        <w:t>students should be provided with prompt feedback on assessed coursework assignments; and</w:t>
      </w:r>
    </w:p>
    <w:p w14:paraId="0AF59CEB" w14:textId="77777777" w:rsidR="00126BD8" w:rsidRPr="00126BD8" w:rsidRDefault="00126BD8" w:rsidP="00126BD8">
      <w:pPr>
        <w:numPr>
          <w:ilvl w:val="0"/>
          <w:numId w:val="17"/>
        </w:numPr>
        <w:rPr>
          <w:lang w:eastAsia="en-US"/>
        </w:rPr>
      </w:pPr>
      <w:r w:rsidRPr="00126BD8">
        <w:rPr>
          <w:lang w:eastAsia="en-US"/>
        </w:rPr>
        <w:t>any marks issued to students prior to moderation and approval by formal Examination Boards must include a written caution: 'This grade is provisional and may be changed following moderation by the Board of Examiners'.</w:t>
      </w:r>
    </w:p>
    <w:p w14:paraId="0B91ACE2" w14:textId="77777777" w:rsidR="00126BD8" w:rsidRPr="00126BD8" w:rsidRDefault="00126BD8" w:rsidP="00126BD8">
      <w:pPr>
        <w:rPr>
          <w:lang w:eastAsia="en-US"/>
        </w:rPr>
      </w:pPr>
      <w:r w:rsidRPr="00126BD8">
        <w:rPr>
          <w:lang w:eastAsia="en-US"/>
        </w:rPr>
        <w:t>Staff should be encouraged and expected to:</w:t>
      </w:r>
    </w:p>
    <w:p w14:paraId="6EA20579" w14:textId="77777777" w:rsidR="00126BD8" w:rsidRPr="00126BD8" w:rsidRDefault="00126BD8" w:rsidP="0054399B">
      <w:pPr>
        <w:numPr>
          <w:ilvl w:val="0"/>
          <w:numId w:val="18"/>
        </w:numPr>
        <w:ind w:left="714" w:hanging="357"/>
        <w:contextualSpacing/>
        <w:rPr>
          <w:lang w:eastAsia="en-US"/>
        </w:rPr>
      </w:pPr>
      <w:r w:rsidRPr="00126BD8">
        <w:rPr>
          <w:lang w:eastAsia="en-US"/>
        </w:rPr>
        <w:t>evaluate the effectiveness of their own approaches and methods of assessment; and</w:t>
      </w:r>
    </w:p>
    <w:p w14:paraId="58B8EA6B" w14:textId="77777777" w:rsidR="00126BD8" w:rsidRPr="00126BD8" w:rsidRDefault="00126BD8" w:rsidP="00126BD8">
      <w:pPr>
        <w:numPr>
          <w:ilvl w:val="0"/>
          <w:numId w:val="18"/>
        </w:numPr>
        <w:rPr>
          <w:lang w:eastAsia="en-US"/>
        </w:rPr>
      </w:pPr>
      <w:r w:rsidRPr="00126BD8">
        <w:rPr>
          <w:lang w:eastAsia="en-US"/>
        </w:rPr>
        <w:t>develop their approaches and methods of assessment to improve student learning.</w:t>
      </w:r>
    </w:p>
    <w:p w14:paraId="490600BC" w14:textId="77777777" w:rsidR="00126BD8" w:rsidRPr="00DF1757" w:rsidRDefault="00126BD8" w:rsidP="00126BD8">
      <w:pPr>
        <w:rPr>
          <w:b/>
          <w:color w:val="365F91" w:themeColor="accent1" w:themeShade="BF"/>
          <w:lang w:eastAsia="en-US"/>
        </w:rPr>
      </w:pPr>
      <w:bookmarkStart w:id="35" w:name="_5._Student_support"/>
      <w:bookmarkEnd w:id="35"/>
      <w:r w:rsidRPr="00DF1757">
        <w:rPr>
          <w:b/>
          <w:color w:val="365F91" w:themeColor="accent1" w:themeShade="BF"/>
          <w:lang w:eastAsia="en-US"/>
        </w:rPr>
        <w:t>5. Student support and guidance</w:t>
      </w:r>
    </w:p>
    <w:p w14:paraId="0656FB6D" w14:textId="77777777" w:rsidR="00126BD8" w:rsidRPr="00126BD8" w:rsidRDefault="00126BD8" w:rsidP="00126BD8">
      <w:pPr>
        <w:rPr>
          <w:b/>
          <w:lang w:eastAsia="en-US"/>
        </w:rPr>
      </w:pPr>
      <w:r w:rsidRPr="00126BD8">
        <w:rPr>
          <w:b/>
          <w:lang w:eastAsia="en-US"/>
        </w:rPr>
        <w:t>Scope</w:t>
      </w:r>
    </w:p>
    <w:p w14:paraId="51F830E1" w14:textId="77777777" w:rsidR="00126BD8" w:rsidRPr="00126BD8" w:rsidRDefault="00126BD8" w:rsidP="0054399B">
      <w:pPr>
        <w:numPr>
          <w:ilvl w:val="0"/>
          <w:numId w:val="19"/>
        </w:numPr>
        <w:ind w:left="714" w:hanging="357"/>
        <w:contextualSpacing/>
        <w:rPr>
          <w:lang w:eastAsia="en-US"/>
        </w:rPr>
      </w:pPr>
      <w:r w:rsidRPr="00126BD8">
        <w:rPr>
          <w:lang w:eastAsia="en-US"/>
        </w:rPr>
        <w:t>academic support and guidance;</w:t>
      </w:r>
    </w:p>
    <w:p w14:paraId="39780EFD" w14:textId="77777777" w:rsidR="00126BD8" w:rsidRPr="00126BD8" w:rsidRDefault="00126BD8" w:rsidP="0054399B">
      <w:pPr>
        <w:numPr>
          <w:ilvl w:val="0"/>
          <w:numId w:val="19"/>
        </w:numPr>
        <w:ind w:left="714" w:hanging="357"/>
        <w:contextualSpacing/>
        <w:rPr>
          <w:lang w:eastAsia="en-US"/>
        </w:rPr>
      </w:pPr>
      <w:r w:rsidRPr="00126BD8">
        <w:rPr>
          <w:lang w:eastAsia="en-US"/>
        </w:rPr>
        <w:t>guidance on curricular choice;</w:t>
      </w:r>
    </w:p>
    <w:p w14:paraId="4DE3E54A" w14:textId="77777777" w:rsidR="00126BD8" w:rsidRPr="00126BD8" w:rsidRDefault="00126BD8" w:rsidP="0054399B">
      <w:pPr>
        <w:numPr>
          <w:ilvl w:val="0"/>
          <w:numId w:val="19"/>
        </w:numPr>
        <w:ind w:left="714" w:hanging="357"/>
        <w:contextualSpacing/>
        <w:rPr>
          <w:lang w:eastAsia="en-US"/>
        </w:rPr>
      </w:pPr>
      <w:r w:rsidRPr="00126BD8">
        <w:rPr>
          <w:lang w:eastAsia="en-US"/>
        </w:rPr>
        <w:t>guidance and opportunities for personal development planning;</w:t>
      </w:r>
    </w:p>
    <w:p w14:paraId="3AE01882" w14:textId="77777777" w:rsidR="00126BD8" w:rsidRPr="00126BD8" w:rsidRDefault="00126BD8" w:rsidP="0054399B">
      <w:pPr>
        <w:numPr>
          <w:ilvl w:val="0"/>
          <w:numId w:val="19"/>
        </w:numPr>
        <w:ind w:left="714" w:hanging="357"/>
        <w:contextualSpacing/>
        <w:rPr>
          <w:lang w:eastAsia="en-US"/>
        </w:rPr>
      </w:pPr>
      <w:r w:rsidRPr="00126BD8">
        <w:rPr>
          <w:lang w:eastAsia="en-US"/>
        </w:rPr>
        <w:t>pastoral support; and</w:t>
      </w:r>
    </w:p>
    <w:p w14:paraId="4218F7C9" w14:textId="77777777" w:rsidR="00126BD8" w:rsidRPr="00126BD8" w:rsidRDefault="00126BD8" w:rsidP="00126BD8">
      <w:pPr>
        <w:numPr>
          <w:ilvl w:val="0"/>
          <w:numId w:val="19"/>
        </w:numPr>
        <w:rPr>
          <w:lang w:eastAsia="en-US"/>
        </w:rPr>
      </w:pPr>
      <w:r w:rsidRPr="00126BD8">
        <w:rPr>
          <w:lang w:eastAsia="en-US"/>
        </w:rPr>
        <w:t>support for students with protected characteristics.</w:t>
      </w:r>
    </w:p>
    <w:p w14:paraId="52E6BB93" w14:textId="77777777" w:rsidR="00126BD8" w:rsidRPr="00126BD8" w:rsidRDefault="00126BD8" w:rsidP="00126BD8">
      <w:pPr>
        <w:rPr>
          <w:b/>
          <w:lang w:eastAsia="en-US"/>
        </w:rPr>
      </w:pPr>
      <w:r w:rsidRPr="00126BD8">
        <w:rPr>
          <w:b/>
          <w:lang w:eastAsia="en-US"/>
        </w:rPr>
        <w:t>Good practice</w:t>
      </w:r>
    </w:p>
    <w:p w14:paraId="78B6E345" w14:textId="77777777" w:rsidR="00126BD8" w:rsidRPr="00126BD8" w:rsidRDefault="00126BD8" w:rsidP="00126BD8">
      <w:pPr>
        <w:rPr>
          <w:lang w:eastAsia="en-US"/>
        </w:rPr>
      </w:pPr>
      <w:r w:rsidRPr="00126BD8">
        <w:rPr>
          <w:lang w:eastAsia="en-US"/>
        </w:rPr>
        <w:t>Opportunities and arrangements for student support and guidance should:</w:t>
      </w:r>
    </w:p>
    <w:p w14:paraId="1B39CB59" w14:textId="77777777" w:rsidR="00126BD8" w:rsidRPr="00126BD8" w:rsidRDefault="00126BD8" w:rsidP="0054399B">
      <w:pPr>
        <w:numPr>
          <w:ilvl w:val="0"/>
          <w:numId w:val="20"/>
        </w:numPr>
        <w:ind w:left="714" w:hanging="357"/>
        <w:contextualSpacing/>
        <w:rPr>
          <w:lang w:eastAsia="en-US"/>
        </w:rPr>
      </w:pPr>
      <w:r w:rsidRPr="00126BD8">
        <w:rPr>
          <w:lang w:eastAsia="en-US"/>
        </w:rPr>
        <w:t>be appropriate for the needs of student intake; and</w:t>
      </w:r>
    </w:p>
    <w:p w14:paraId="133AE3C9" w14:textId="77777777" w:rsidR="00126BD8" w:rsidRPr="00126BD8" w:rsidRDefault="00126BD8" w:rsidP="00126BD8">
      <w:pPr>
        <w:numPr>
          <w:ilvl w:val="0"/>
          <w:numId w:val="20"/>
        </w:numPr>
        <w:rPr>
          <w:lang w:eastAsia="en-US"/>
        </w:rPr>
      </w:pPr>
      <w:r w:rsidRPr="00126BD8">
        <w:rPr>
          <w:lang w:eastAsia="en-US"/>
        </w:rPr>
        <w:t>be effectively communicated, and available to all students on the programme.</w:t>
      </w:r>
    </w:p>
    <w:p w14:paraId="55415050" w14:textId="77777777" w:rsidR="00126BD8" w:rsidRPr="00126BD8" w:rsidRDefault="00126BD8" w:rsidP="00126BD8">
      <w:pPr>
        <w:rPr>
          <w:lang w:eastAsia="en-US"/>
        </w:rPr>
      </w:pPr>
      <w:r w:rsidRPr="00126BD8">
        <w:rPr>
          <w:lang w:eastAsia="en-US"/>
        </w:rPr>
        <w:t>Student support and guidance should encourage and promote:</w:t>
      </w:r>
    </w:p>
    <w:p w14:paraId="45B2F30A" w14:textId="77777777" w:rsidR="00126BD8" w:rsidRPr="00126BD8" w:rsidRDefault="00126BD8" w:rsidP="0054399B">
      <w:pPr>
        <w:numPr>
          <w:ilvl w:val="0"/>
          <w:numId w:val="21"/>
        </w:numPr>
        <w:ind w:left="714" w:hanging="357"/>
        <w:contextualSpacing/>
        <w:rPr>
          <w:lang w:eastAsia="en-US"/>
        </w:rPr>
      </w:pPr>
      <w:r w:rsidRPr="00126BD8">
        <w:rPr>
          <w:lang w:eastAsia="en-US"/>
        </w:rPr>
        <w:t>participation, and effective engagement with the programme by all students including those with protected characteristics;</w:t>
      </w:r>
    </w:p>
    <w:p w14:paraId="7D22A8A3" w14:textId="77777777" w:rsidR="00126BD8" w:rsidRPr="00126BD8" w:rsidRDefault="00126BD8" w:rsidP="0054399B">
      <w:pPr>
        <w:numPr>
          <w:ilvl w:val="0"/>
          <w:numId w:val="21"/>
        </w:numPr>
        <w:ind w:left="714" w:hanging="357"/>
        <w:contextualSpacing/>
        <w:rPr>
          <w:lang w:eastAsia="en-US"/>
        </w:rPr>
      </w:pPr>
      <w:r w:rsidRPr="00126BD8">
        <w:rPr>
          <w:lang w:eastAsia="en-US"/>
        </w:rPr>
        <w:t>personal achievement;</w:t>
      </w:r>
    </w:p>
    <w:p w14:paraId="35AC6589" w14:textId="77777777" w:rsidR="00126BD8" w:rsidRPr="00126BD8" w:rsidRDefault="00126BD8" w:rsidP="0054399B">
      <w:pPr>
        <w:numPr>
          <w:ilvl w:val="0"/>
          <w:numId w:val="21"/>
        </w:numPr>
        <w:ind w:left="714" w:hanging="357"/>
        <w:contextualSpacing/>
        <w:rPr>
          <w:lang w:eastAsia="en-US"/>
        </w:rPr>
      </w:pPr>
      <w:r w:rsidRPr="00126BD8">
        <w:rPr>
          <w:lang w:eastAsia="en-US"/>
        </w:rPr>
        <w:t>student choice; and</w:t>
      </w:r>
    </w:p>
    <w:p w14:paraId="31BFF709" w14:textId="77777777" w:rsidR="00126BD8" w:rsidRPr="00126BD8" w:rsidRDefault="00126BD8" w:rsidP="00126BD8">
      <w:pPr>
        <w:numPr>
          <w:ilvl w:val="0"/>
          <w:numId w:val="21"/>
        </w:numPr>
        <w:rPr>
          <w:lang w:eastAsia="en-US"/>
        </w:rPr>
      </w:pPr>
      <w:r w:rsidRPr="00126BD8">
        <w:rPr>
          <w:lang w:eastAsia="en-US"/>
        </w:rPr>
        <w:t>personal development planning, within and beyond university.</w:t>
      </w:r>
    </w:p>
    <w:p w14:paraId="2C74EBF0" w14:textId="77777777" w:rsidR="00126BD8" w:rsidRPr="00DF1757" w:rsidRDefault="00126BD8" w:rsidP="00126BD8">
      <w:pPr>
        <w:rPr>
          <w:b/>
          <w:color w:val="365F91" w:themeColor="accent1" w:themeShade="BF"/>
          <w:lang w:eastAsia="en-US"/>
        </w:rPr>
      </w:pPr>
      <w:bookmarkStart w:id="36" w:name="_6._Resources_and"/>
      <w:bookmarkEnd w:id="36"/>
      <w:r w:rsidRPr="00DF1757">
        <w:rPr>
          <w:b/>
          <w:color w:val="365F91" w:themeColor="accent1" w:themeShade="BF"/>
          <w:lang w:eastAsia="en-US"/>
        </w:rPr>
        <w:lastRenderedPageBreak/>
        <w:t>6. Resources and the learning environment</w:t>
      </w:r>
    </w:p>
    <w:p w14:paraId="1C8C1D99" w14:textId="77777777" w:rsidR="00126BD8" w:rsidRPr="00126BD8" w:rsidRDefault="00126BD8" w:rsidP="00126BD8">
      <w:pPr>
        <w:rPr>
          <w:b/>
          <w:lang w:eastAsia="en-US"/>
        </w:rPr>
      </w:pPr>
      <w:r w:rsidRPr="00126BD8">
        <w:rPr>
          <w:b/>
          <w:lang w:eastAsia="en-US"/>
        </w:rPr>
        <w:t>Scope</w:t>
      </w:r>
    </w:p>
    <w:p w14:paraId="46582E07" w14:textId="4F16017A" w:rsidR="00126BD8" w:rsidRPr="00126BD8" w:rsidRDefault="00126BD8" w:rsidP="0054399B">
      <w:pPr>
        <w:numPr>
          <w:ilvl w:val="0"/>
          <w:numId w:val="22"/>
        </w:numPr>
        <w:ind w:left="714" w:hanging="357"/>
        <w:contextualSpacing/>
        <w:rPr>
          <w:lang w:eastAsia="en-US"/>
        </w:rPr>
      </w:pPr>
      <w:r w:rsidRPr="00126BD8">
        <w:rPr>
          <w:lang w:eastAsia="en-US"/>
        </w:rPr>
        <w:t>staff</w:t>
      </w:r>
      <w:r w:rsidR="0054399B">
        <w:rPr>
          <w:lang w:eastAsia="en-US"/>
        </w:rPr>
        <w:t xml:space="preserve"> </w:t>
      </w:r>
      <w:r w:rsidRPr="00126BD8">
        <w:rPr>
          <w:lang w:eastAsia="en-US"/>
        </w:rPr>
        <w:t>—</w:t>
      </w:r>
      <w:r w:rsidR="0054399B">
        <w:rPr>
          <w:lang w:eastAsia="en-US"/>
        </w:rPr>
        <w:t xml:space="preserve"> </w:t>
      </w:r>
      <w:r w:rsidRPr="00126BD8">
        <w:rPr>
          <w:lang w:eastAsia="en-US"/>
        </w:rPr>
        <w:t>complement, expertise and development;</w:t>
      </w:r>
    </w:p>
    <w:p w14:paraId="3FEAAC44" w14:textId="77777777" w:rsidR="00126BD8" w:rsidRPr="00126BD8" w:rsidRDefault="00126BD8" w:rsidP="0054399B">
      <w:pPr>
        <w:numPr>
          <w:ilvl w:val="0"/>
          <w:numId w:val="22"/>
        </w:numPr>
        <w:ind w:left="714" w:hanging="357"/>
        <w:contextualSpacing/>
        <w:rPr>
          <w:lang w:eastAsia="en-US"/>
        </w:rPr>
      </w:pPr>
      <w:r w:rsidRPr="00126BD8">
        <w:rPr>
          <w:lang w:eastAsia="en-US"/>
        </w:rPr>
        <w:t>library, computing/IT, teaching accommodation, specialist equipment, facilities and opportunities; and</w:t>
      </w:r>
    </w:p>
    <w:p w14:paraId="28DF91DC" w14:textId="77777777" w:rsidR="00126BD8" w:rsidRPr="00126BD8" w:rsidRDefault="00126BD8" w:rsidP="00126BD8">
      <w:pPr>
        <w:numPr>
          <w:ilvl w:val="0"/>
          <w:numId w:val="22"/>
        </w:numPr>
        <w:rPr>
          <w:lang w:eastAsia="en-US"/>
        </w:rPr>
      </w:pPr>
      <w:r w:rsidRPr="00126BD8">
        <w:rPr>
          <w:lang w:eastAsia="en-US"/>
        </w:rPr>
        <w:t>other (for example, field trips, placements).</w:t>
      </w:r>
    </w:p>
    <w:p w14:paraId="23EB60A4" w14:textId="77777777" w:rsidR="00126BD8" w:rsidRPr="00126BD8" w:rsidRDefault="00126BD8" w:rsidP="00126BD8">
      <w:pPr>
        <w:rPr>
          <w:b/>
          <w:lang w:eastAsia="en-US"/>
        </w:rPr>
      </w:pPr>
      <w:r w:rsidRPr="00126BD8">
        <w:rPr>
          <w:b/>
          <w:lang w:eastAsia="en-US"/>
        </w:rPr>
        <w:t>Good practice</w:t>
      </w:r>
    </w:p>
    <w:p w14:paraId="17E74481" w14:textId="77777777" w:rsidR="00126BD8" w:rsidRPr="00126BD8" w:rsidRDefault="00126BD8" w:rsidP="00126BD8">
      <w:pPr>
        <w:rPr>
          <w:lang w:eastAsia="en-US"/>
        </w:rPr>
      </w:pPr>
      <w:r w:rsidRPr="00126BD8">
        <w:rPr>
          <w:lang w:eastAsia="en-US"/>
        </w:rPr>
        <w:t>Appropriate resources should be available to promote:</w:t>
      </w:r>
    </w:p>
    <w:p w14:paraId="1E3BC2EF" w14:textId="77777777" w:rsidR="00126BD8" w:rsidRPr="00126BD8" w:rsidRDefault="00126BD8" w:rsidP="0054399B">
      <w:pPr>
        <w:numPr>
          <w:ilvl w:val="0"/>
          <w:numId w:val="23"/>
        </w:numPr>
        <w:ind w:left="714" w:hanging="357"/>
        <w:contextualSpacing/>
        <w:rPr>
          <w:lang w:eastAsia="en-US"/>
        </w:rPr>
      </w:pPr>
      <w:r w:rsidRPr="00126BD8">
        <w:rPr>
          <w:lang w:eastAsia="en-US"/>
        </w:rPr>
        <w:t>academic standards;</w:t>
      </w:r>
    </w:p>
    <w:p w14:paraId="75B21BE5" w14:textId="77777777" w:rsidR="00126BD8" w:rsidRPr="00126BD8" w:rsidRDefault="00126BD8" w:rsidP="0054399B">
      <w:pPr>
        <w:numPr>
          <w:ilvl w:val="0"/>
          <w:numId w:val="23"/>
        </w:numPr>
        <w:ind w:left="714" w:hanging="357"/>
        <w:contextualSpacing/>
        <w:rPr>
          <w:lang w:eastAsia="en-US"/>
        </w:rPr>
      </w:pPr>
      <w:r w:rsidRPr="00126BD8">
        <w:rPr>
          <w:lang w:eastAsia="en-US"/>
        </w:rPr>
        <w:t>quality of learning and the student experience; and</w:t>
      </w:r>
    </w:p>
    <w:p w14:paraId="4CE50E8F" w14:textId="77777777" w:rsidR="00126BD8" w:rsidRPr="00126BD8" w:rsidRDefault="00126BD8" w:rsidP="00126BD8">
      <w:pPr>
        <w:numPr>
          <w:ilvl w:val="0"/>
          <w:numId w:val="23"/>
        </w:numPr>
        <w:rPr>
          <w:lang w:eastAsia="en-US"/>
        </w:rPr>
      </w:pPr>
      <w:r w:rsidRPr="00126BD8">
        <w:rPr>
          <w:lang w:eastAsia="en-US"/>
        </w:rPr>
        <w:t>student achievement and progression.</w:t>
      </w:r>
    </w:p>
    <w:p w14:paraId="0A6C7339" w14:textId="77777777" w:rsidR="00126BD8" w:rsidRPr="00126BD8" w:rsidRDefault="00126BD8" w:rsidP="00126BD8">
      <w:pPr>
        <w:rPr>
          <w:lang w:eastAsia="en-US"/>
        </w:rPr>
      </w:pPr>
      <w:r w:rsidRPr="00126BD8">
        <w:rPr>
          <w:lang w:eastAsia="en-US"/>
        </w:rPr>
        <w:t>Resources should be effectively deployed and managed.</w:t>
      </w:r>
    </w:p>
    <w:p w14:paraId="7D8CFB10" w14:textId="77777777" w:rsidR="00126BD8" w:rsidRPr="00DF1757" w:rsidRDefault="00126BD8" w:rsidP="00126BD8">
      <w:pPr>
        <w:rPr>
          <w:b/>
          <w:color w:val="365F91" w:themeColor="accent1" w:themeShade="BF"/>
          <w:lang w:eastAsia="en-US"/>
        </w:rPr>
      </w:pPr>
      <w:bookmarkStart w:id="37" w:name="_7._Communication,_management"/>
      <w:bookmarkEnd w:id="37"/>
      <w:r w:rsidRPr="00DF1757">
        <w:rPr>
          <w:b/>
          <w:color w:val="365F91" w:themeColor="accent1" w:themeShade="BF"/>
          <w:lang w:eastAsia="en-US"/>
        </w:rPr>
        <w:t>7. Communication, management and enhancement</w:t>
      </w:r>
    </w:p>
    <w:p w14:paraId="24889F35" w14:textId="77777777" w:rsidR="00126BD8" w:rsidRPr="00126BD8" w:rsidRDefault="00126BD8" w:rsidP="00126BD8">
      <w:pPr>
        <w:rPr>
          <w:b/>
          <w:lang w:eastAsia="en-US"/>
        </w:rPr>
      </w:pPr>
      <w:r w:rsidRPr="00126BD8">
        <w:rPr>
          <w:b/>
          <w:lang w:eastAsia="en-US"/>
        </w:rPr>
        <w:t>Scope</w:t>
      </w:r>
    </w:p>
    <w:p w14:paraId="28507A9D" w14:textId="560F23D8" w:rsidR="00126BD8" w:rsidRPr="00126BD8" w:rsidRDefault="00126BD8" w:rsidP="005823BB">
      <w:pPr>
        <w:numPr>
          <w:ilvl w:val="0"/>
          <w:numId w:val="24"/>
        </w:numPr>
        <w:ind w:left="714" w:hanging="357"/>
        <w:contextualSpacing/>
        <w:rPr>
          <w:lang w:eastAsia="en-US"/>
        </w:rPr>
      </w:pPr>
      <w:r w:rsidRPr="00126BD8">
        <w:rPr>
          <w:lang w:eastAsia="en-US"/>
        </w:rPr>
        <w:t>information</w:t>
      </w:r>
      <w:r w:rsidR="0054399B">
        <w:rPr>
          <w:lang w:eastAsia="en-US"/>
        </w:rPr>
        <w:t xml:space="preserve"> </w:t>
      </w:r>
      <w:r w:rsidRPr="00126BD8">
        <w:rPr>
          <w:lang w:eastAsia="en-US"/>
        </w:rPr>
        <w:t>—</w:t>
      </w:r>
      <w:r w:rsidR="0054399B">
        <w:rPr>
          <w:lang w:eastAsia="en-US"/>
        </w:rPr>
        <w:t xml:space="preserve"> </w:t>
      </w:r>
      <w:r w:rsidRPr="00126BD8">
        <w:rPr>
          <w:lang w:eastAsia="en-US"/>
        </w:rPr>
        <w:t>to students, prospective students and staff;</w:t>
      </w:r>
    </w:p>
    <w:p w14:paraId="327CA204" w14:textId="77777777" w:rsidR="00126BD8" w:rsidRPr="00126BD8" w:rsidRDefault="00126BD8" w:rsidP="005823BB">
      <w:pPr>
        <w:numPr>
          <w:ilvl w:val="0"/>
          <w:numId w:val="24"/>
        </w:numPr>
        <w:ind w:left="714" w:hanging="357"/>
        <w:contextualSpacing/>
        <w:rPr>
          <w:lang w:eastAsia="en-US"/>
        </w:rPr>
      </w:pPr>
      <w:r w:rsidRPr="00126BD8">
        <w:rPr>
          <w:lang w:eastAsia="en-US"/>
        </w:rPr>
        <w:t>staff-student communication;</w:t>
      </w:r>
    </w:p>
    <w:p w14:paraId="72604A24" w14:textId="77777777" w:rsidR="00126BD8" w:rsidRPr="00126BD8" w:rsidRDefault="00126BD8" w:rsidP="005823BB">
      <w:pPr>
        <w:numPr>
          <w:ilvl w:val="0"/>
          <w:numId w:val="24"/>
        </w:numPr>
        <w:ind w:left="714" w:hanging="357"/>
        <w:contextualSpacing/>
        <w:rPr>
          <w:lang w:eastAsia="en-US"/>
        </w:rPr>
      </w:pPr>
      <w:r w:rsidRPr="00126BD8">
        <w:rPr>
          <w:lang w:eastAsia="en-US"/>
        </w:rPr>
        <w:t>monitoring and enhancement actions;</w:t>
      </w:r>
    </w:p>
    <w:p w14:paraId="73094D59" w14:textId="77777777" w:rsidR="00126BD8" w:rsidRPr="00126BD8" w:rsidRDefault="00126BD8" w:rsidP="005823BB">
      <w:pPr>
        <w:numPr>
          <w:ilvl w:val="0"/>
          <w:numId w:val="24"/>
        </w:numPr>
        <w:ind w:left="714" w:hanging="357"/>
        <w:contextualSpacing/>
        <w:rPr>
          <w:lang w:eastAsia="en-US"/>
        </w:rPr>
      </w:pPr>
      <w:r w:rsidRPr="00126BD8">
        <w:rPr>
          <w:lang w:eastAsia="en-US"/>
        </w:rPr>
        <w:t>health and safety; and</w:t>
      </w:r>
    </w:p>
    <w:p w14:paraId="46E93C5A" w14:textId="77777777" w:rsidR="00126BD8" w:rsidRPr="00126BD8" w:rsidRDefault="00126BD8" w:rsidP="00126BD8">
      <w:pPr>
        <w:numPr>
          <w:ilvl w:val="0"/>
          <w:numId w:val="24"/>
        </w:numPr>
        <w:rPr>
          <w:lang w:eastAsia="en-US"/>
        </w:rPr>
      </w:pPr>
      <w:r w:rsidRPr="00126BD8">
        <w:rPr>
          <w:lang w:eastAsia="en-US"/>
        </w:rPr>
        <w:t>sustainability and efficiency.</w:t>
      </w:r>
    </w:p>
    <w:p w14:paraId="7CBD2D9F" w14:textId="77777777" w:rsidR="00126BD8" w:rsidRPr="00126BD8" w:rsidRDefault="00126BD8" w:rsidP="00126BD8">
      <w:pPr>
        <w:rPr>
          <w:b/>
          <w:lang w:eastAsia="en-US"/>
        </w:rPr>
      </w:pPr>
      <w:r w:rsidRPr="00126BD8">
        <w:rPr>
          <w:b/>
          <w:lang w:eastAsia="en-US"/>
        </w:rPr>
        <w:t>Good practice</w:t>
      </w:r>
    </w:p>
    <w:p w14:paraId="008C204E" w14:textId="77777777" w:rsidR="00126BD8" w:rsidRPr="00126BD8" w:rsidRDefault="00126BD8" w:rsidP="00126BD8">
      <w:pPr>
        <w:rPr>
          <w:lang w:eastAsia="en-US"/>
        </w:rPr>
      </w:pPr>
      <w:r w:rsidRPr="00126BD8">
        <w:rPr>
          <w:lang w:eastAsia="en-US"/>
        </w:rPr>
        <w:t>Programmes and component modules should be effectively described and communicated using the University's templates:</w:t>
      </w:r>
    </w:p>
    <w:p w14:paraId="1AC00769" w14:textId="77777777" w:rsidR="00126BD8" w:rsidRPr="00126BD8" w:rsidRDefault="00126BD8" w:rsidP="005823BB">
      <w:pPr>
        <w:numPr>
          <w:ilvl w:val="0"/>
          <w:numId w:val="25"/>
        </w:numPr>
        <w:ind w:left="714" w:hanging="357"/>
        <w:contextualSpacing/>
        <w:rPr>
          <w:lang w:eastAsia="en-US"/>
        </w:rPr>
      </w:pPr>
      <w:r w:rsidRPr="00126BD8">
        <w:rPr>
          <w:lang w:eastAsia="en-US"/>
        </w:rPr>
        <w:t>to meet the information needs of all users;</w:t>
      </w:r>
    </w:p>
    <w:p w14:paraId="53E90E07" w14:textId="77777777" w:rsidR="00126BD8" w:rsidRPr="00126BD8" w:rsidRDefault="00126BD8" w:rsidP="005823BB">
      <w:pPr>
        <w:numPr>
          <w:ilvl w:val="0"/>
          <w:numId w:val="25"/>
        </w:numPr>
        <w:ind w:left="714" w:hanging="357"/>
        <w:contextualSpacing/>
        <w:rPr>
          <w:lang w:eastAsia="en-US"/>
        </w:rPr>
      </w:pPr>
      <w:r w:rsidRPr="00126BD8">
        <w:rPr>
          <w:lang w:eastAsia="en-US"/>
        </w:rPr>
        <w:t>to define credit ratings of programme pathways and component modules with reference to the Scottish Credit and Qualifications Framework; and</w:t>
      </w:r>
    </w:p>
    <w:p w14:paraId="2ECC0171" w14:textId="77777777" w:rsidR="00126BD8" w:rsidRPr="00126BD8" w:rsidRDefault="00126BD8" w:rsidP="00126BD8">
      <w:pPr>
        <w:numPr>
          <w:ilvl w:val="0"/>
          <w:numId w:val="25"/>
        </w:numPr>
        <w:rPr>
          <w:lang w:eastAsia="en-US"/>
        </w:rPr>
      </w:pPr>
      <w:r w:rsidRPr="00126BD8">
        <w:rPr>
          <w:lang w:eastAsia="en-US"/>
        </w:rPr>
        <w:t>to make students and prospective students aware of expectations of them and of their responsibilities as learners.</w:t>
      </w:r>
    </w:p>
    <w:p w14:paraId="63601494" w14:textId="77777777" w:rsidR="00126BD8" w:rsidRPr="00126BD8" w:rsidRDefault="00126BD8" w:rsidP="00126BD8">
      <w:pPr>
        <w:rPr>
          <w:lang w:eastAsia="en-US"/>
        </w:rPr>
      </w:pPr>
      <w:r w:rsidRPr="00126BD8">
        <w:rPr>
          <w:lang w:eastAsia="en-US"/>
        </w:rPr>
        <w:t>Programmes should be provided in a culture that encourages effective two-way communication between students and staff.</w:t>
      </w:r>
    </w:p>
    <w:p w14:paraId="78026B5F" w14:textId="77777777" w:rsidR="00126BD8" w:rsidRPr="00126BD8" w:rsidRDefault="00126BD8" w:rsidP="00126BD8">
      <w:pPr>
        <w:rPr>
          <w:lang w:eastAsia="en-US"/>
        </w:rPr>
      </w:pPr>
      <w:r w:rsidRPr="00126BD8">
        <w:rPr>
          <w:lang w:eastAsia="en-US"/>
        </w:rPr>
        <w:t>Programmes should be provided in a culture that promotes reflection and enhancement:</w:t>
      </w:r>
    </w:p>
    <w:p w14:paraId="0FDE1426" w14:textId="77777777" w:rsidR="00126BD8" w:rsidRPr="00126BD8" w:rsidRDefault="00126BD8" w:rsidP="005823BB">
      <w:pPr>
        <w:numPr>
          <w:ilvl w:val="0"/>
          <w:numId w:val="26"/>
        </w:numPr>
        <w:ind w:left="714" w:hanging="357"/>
        <w:contextualSpacing/>
        <w:rPr>
          <w:lang w:eastAsia="en-US"/>
        </w:rPr>
      </w:pPr>
      <w:r w:rsidRPr="00126BD8">
        <w:rPr>
          <w:lang w:eastAsia="en-US"/>
        </w:rPr>
        <w:t>programmes and component modules should be systematically and effectively monitored; and</w:t>
      </w:r>
    </w:p>
    <w:p w14:paraId="55B7BA5D" w14:textId="77777777" w:rsidR="00126BD8" w:rsidRPr="00126BD8" w:rsidRDefault="00126BD8" w:rsidP="00126BD8">
      <w:pPr>
        <w:numPr>
          <w:ilvl w:val="0"/>
          <w:numId w:val="26"/>
        </w:numPr>
        <w:rPr>
          <w:lang w:eastAsia="en-US"/>
        </w:rPr>
      </w:pPr>
      <w:r w:rsidRPr="00126BD8">
        <w:rPr>
          <w:lang w:eastAsia="en-US"/>
        </w:rPr>
        <w:t>enhancement actions should be effectively and promptly addressed within constraints of resource.</w:t>
      </w:r>
    </w:p>
    <w:p w14:paraId="04756359" w14:textId="77777777" w:rsidR="00126BD8" w:rsidRPr="00126BD8" w:rsidRDefault="00126BD8" w:rsidP="00126BD8">
      <w:pPr>
        <w:rPr>
          <w:lang w:eastAsia="en-US"/>
        </w:rPr>
      </w:pPr>
      <w:r w:rsidRPr="00126BD8">
        <w:rPr>
          <w:lang w:eastAsia="en-US"/>
        </w:rPr>
        <w:t>Programmes should be provided in a safe environment and where appropriate to the subject, in ways that promote student learning of good practice in health and safety.</w:t>
      </w:r>
    </w:p>
    <w:p w14:paraId="2670ED7A" w14:textId="77777777" w:rsidR="00126BD8" w:rsidRPr="00126BD8" w:rsidRDefault="00126BD8" w:rsidP="00126BD8">
      <w:pPr>
        <w:rPr>
          <w:lang w:eastAsia="en-US"/>
        </w:rPr>
      </w:pPr>
      <w:r w:rsidRPr="00126BD8">
        <w:rPr>
          <w:lang w:eastAsia="en-US"/>
        </w:rPr>
        <w:t>Programmes should be operated in ways that:</w:t>
      </w:r>
    </w:p>
    <w:p w14:paraId="5553383C" w14:textId="77777777" w:rsidR="00126BD8" w:rsidRPr="00126BD8" w:rsidRDefault="00126BD8" w:rsidP="005823BB">
      <w:pPr>
        <w:numPr>
          <w:ilvl w:val="0"/>
          <w:numId w:val="27"/>
        </w:numPr>
        <w:ind w:left="714" w:hanging="357"/>
        <w:contextualSpacing/>
        <w:rPr>
          <w:lang w:eastAsia="en-US"/>
        </w:rPr>
      </w:pPr>
      <w:r w:rsidRPr="00126BD8">
        <w:rPr>
          <w:lang w:eastAsia="en-US"/>
        </w:rPr>
        <w:t>are efficient and sustainable, taking account of market and financial viability; and</w:t>
      </w:r>
    </w:p>
    <w:p w14:paraId="6AB82354" w14:textId="095D2FC1" w:rsidR="00DE0ECE" w:rsidRDefault="00126BD8" w:rsidP="000C1707">
      <w:pPr>
        <w:numPr>
          <w:ilvl w:val="0"/>
          <w:numId w:val="27"/>
        </w:numPr>
        <w:rPr>
          <w:lang w:eastAsia="en-US"/>
        </w:rPr>
      </w:pPr>
      <w:r w:rsidRPr="00126BD8">
        <w:rPr>
          <w:lang w:eastAsia="en-US"/>
        </w:rPr>
        <w:t>offer good value to students.</w:t>
      </w:r>
    </w:p>
    <w:p w14:paraId="56FDB07D" w14:textId="77777777" w:rsidR="00DE0ECE" w:rsidRDefault="00DE0ECE">
      <w:pPr>
        <w:spacing w:after="0"/>
        <w:jc w:val="left"/>
        <w:rPr>
          <w:lang w:eastAsia="en-US"/>
        </w:rPr>
      </w:pPr>
      <w:r>
        <w:rPr>
          <w:lang w:eastAsia="en-US"/>
        </w:rPr>
        <w:br w:type="page"/>
      </w:r>
    </w:p>
    <w:p w14:paraId="1A1A989B" w14:textId="11D4AB7F" w:rsidR="000C1707" w:rsidRDefault="00DE0ECE" w:rsidP="00DE0ECE">
      <w:pPr>
        <w:pStyle w:val="Heading5"/>
        <w:jc w:val="right"/>
      </w:pPr>
      <w:bookmarkStart w:id="38" w:name="_Appendix_2"/>
      <w:bookmarkEnd w:id="38"/>
      <w:r>
        <w:lastRenderedPageBreak/>
        <w:t>Appendix 2</w:t>
      </w:r>
    </w:p>
    <w:p w14:paraId="5D68A026" w14:textId="3ACF337A" w:rsidR="00DE0ECE" w:rsidRDefault="0023287A" w:rsidP="00DE0ECE">
      <w:pPr>
        <w:jc w:val="center"/>
        <w:rPr>
          <w:lang w:eastAsia="en-US"/>
        </w:rPr>
      </w:pPr>
      <w:r>
        <w:rPr>
          <w:noProof/>
        </w:rPr>
        <w:drawing>
          <wp:inline distT="0" distB="0" distL="0" distR="0" wp14:anchorId="7587EC83" wp14:editId="73165396">
            <wp:extent cx="5777998" cy="52866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08857" cy="5314854"/>
                    </a:xfrm>
                    <a:prstGeom prst="rect">
                      <a:avLst/>
                    </a:prstGeom>
                    <a:noFill/>
                  </pic:spPr>
                </pic:pic>
              </a:graphicData>
            </a:graphic>
          </wp:inline>
        </w:drawing>
      </w:r>
    </w:p>
    <w:p w14:paraId="243CBBD5" w14:textId="03F8562C" w:rsidR="00DE0ECE" w:rsidRDefault="00DE0ECE">
      <w:pPr>
        <w:spacing w:after="0"/>
        <w:jc w:val="left"/>
        <w:rPr>
          <w:lang w:eastAsia="en-US"/>
        </w:rPr>
      </w:pPr>
      <w:r>
        <w:rPr>
          <w:lang w:eastAsia="en-US"/>
        </w:rPr>
        <w:br w:type="page"/>
      </w:r>
    </w:p>
    <w:p w14:paraId="690E96CC" w14:textId="18FDB1CB" w:rsidR="00DE0ECE" w:rsidRDefault="004C1C68" w:rsidP="004C1C68">
      <w:pPr>
        <w:pStyle w:val="Heading5"/>
        <w:jc w:val="right"/>
      </w:pPr>
      <w:bookmarkStart w:id="39" w:name="_Appendix_3"/>
      <w:bookmarkEnd w:id="39"/>
      <w:r>
        <w:lastRenderedPageBreak/>
        <w:t>Appendix 3</w:t>
      </w:r>
    </w:p>
    <w:p w14:paraId="6E17900A" w14:textId="17F48186" w:rsidR="004C1C68" w:rsidRPr="000C1707" w:rsidRDefault="00E93E51" w:rsidP="00DE0ECE">
      <w:pPr>
        <w:jc w:val="center"/>
        <w:rPr>
          <w:lang w:eastAsia="en-US"/>
        </w:rPr>
      </w:pPr>
      <w:r>
        <w:rPr>
          <w:noProof/>
        </w:rPr>
        <w:drawing>
          <wp:inline distT="0" distB="0" distL="0" distR="0" wp14:anchorId="0D75D7AC" wp14:editId="28449CC6">
            <wp:extent cx="5770536" cy="495376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88374" cy="4969082"/>
                    </a:xfrm>
                    <a:prstGeom prst="rect">
                      <a:avLst/>
                    </a:prstGeom>
                    <a:noFill/>
                  </pic:spPr>
                </pic:pic>
              </a:graphicData>
            </a:graphic>
          </wp:inline>
        </w:drawing>
      </w:r>
    </w:p>
    <w:sectPr w:rsidR="004C1C68" w:rsidRPr="000C1707" w:rsidSect="0007195D">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7C5" w14:textId="77777777" w:rsidR="00E66C31" w:rsidRDefault="00E66C31" w:rsidP="00180ACD">
      <w:r>
        <w:separator/>
      </w:r>
    </w:p>
  </w:endnote>
  <w:endnote w:type="continuationSeparator" w:id="0">
    <w:p w14:paraId="05318B9F" w14:textId="77777777" w:rsidR="00E66C31" w:rsidRDefault="00E66C31" w:rsidP="00180ACD">
      <w:r>
        <w:continuationSeparator/>
      </w:r>
    </w:p>
  </w:endnote>
  <w:endnote w:type="continuationNotice" w:id="1">
    <w:p w14:paraId="3D048533" w14:textId="77777777" w:rsidR="00E66C31" w:rsidRDefault="00E66C31" w:rsidP="00180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83911"/>
      <w:docPartObj>
        <w:docPartGallery w:val="Page Numbers (Bottom of Page)"/>
        <w:docPartUnique/>
      </w:docPartObj>
    </w:sdtPr>
    <w:sdtEndPr>
      <w:rPr>
        <w:noProof/>
      </w:rPr>
    </w:sdtEndPr>
    <w:sdtContent>
      <w:p w14:paraId="26EFBFB5" w14:textId="77777777" w:rsidR="00A657B3" w:rsidRDefault="00A657B3">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69A3C39" w14:textId="7989D110" w:rsidR="00A657B3" w:rsidRPr="001422DB" w:rsidRDefault="00A657B3" w:rsidP="001422DB">
    <w:pPr>
      <w:tabs>
        <w:tab w:val="center" w:pos="4513"/>
        <w:tab w:val="right" w:pos="9026"/>
      </w:tabs>
      <w:jc w:val="left"/>
      <w:rPr>
        <w:color w:val="3D5897"/>
        <w:sz w:val="20"/>
        <w:szCs w:val="20"/>
      </w:rPr>
    </w:pPr>
    <w:r w:rsidRPr="001422DB">
      <w:rPr>
        <w:color w:val="3D5897"/>
        <w:sz w:val="20"/>
        <w:szCs w:val="20"/>
      </w:rPr>
      <w:t>Approved March 2016, minor revisions September 2016, November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7F41" w14:textId="77777777" w:rsidR="00A657B3" w:rsidRPr="00AA6366" w:rsidRDefault="00A657B3" w:rsidP="00AA6366">
    <w:pPr>
      <w:tabs>
        <w:tab w:val="center" w:pos="4513"/>
        <w:tab w:val="right" w:pos="9026"/>
      </w:tabs>
      <w:jc w:val="left"/>
    </w:pPr>
  </w:p>
  <w:p w14:paraId="2F48D009" w14:textId="17DC9283" w:rsidR="00A657B3" w:rsidRPr="001422DB" w:rsidRDefault="00A657B3" w:rsidP="00AA6366">
    <w:pPr>
      <w:tabs>
        <w:tab w:val="center" w:pos="4513"/>
        <w:tab w:val="right" w:pos="9026"/>
      </w:tabs>
      <w:jc w:val="left"/>
      <w:rPr>
        <w:color w:val="3D5897"/>
        <w:sz w:val="20"/>
        <w:szCs w:val="20"/>
      </w:rPr>
    </w:pPr>
    <w:r w:rsidRPr="001422DB">
      <w:rPr>
        <w:color w:val="3D5897"/>
        <w:sz w:val="20"/>
        <w:szCs w:val="20"/>
      </w:rPr>
      <w:t>Approved March 2016, minor revisions September 2016,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28EAF" w14:textId="77777777" w:rsidR="00E66C31" w:rsidRDefault="00E66C31" w:rsidP="00180ACD">
      <w:r>
        <w:separator/>
      </w:r>
    </w:p>
  </w:footnote>
  <w:footnote w:type="continuationSeparator" w:id="0">
    <w:p w14:paraId="6821F1DD" w14:textId="77777777" w:rsidR="00E66C31" w:rsidRDefault="00E66C31" w:rsidP="00180ACD">
      <w:r>
        <w:continuationSeparator/>
      </w:r>
    </w:p>
  </w:footnote>
  <w:footnote w:type="continuationNotice" w:id="1">
    <w:p w14:paraId="7010984F" w14:textId="77777777" w:rsidR="00E66C31" w:rsidRDefault="00E66C31" w:rsidP="00180ACD"/>
  </w:footnote>
  <w:footnote w:id="2">
    <w:p w14:paraId="6CD46AE2" w14:textId="77777777" w:rsidR="00A657B3" w:rsidRDefault="00A657B3" w:rsidP="00126BD8">
      <w:pPr>
        <w:pStyle w:val="FootnoteText"/>
      </w:pPr>
      <w:r>
        <w:rPr>
          <w:rStyle w:val="FootnoteReference"/>
        </w:rPr>
        <w:footnoteRef/>
      </w:r>
      <w:r>
        <w:t xml:space="preserve"> The PSSI documentation must include the separate marketing information in the ‘Update My Course’ form required by External Relations.</w:t>
      </w:r>
    </w:p>
  </w:footnote>
  <w:footnote w:id="3">
    <w:p w14:paraId="2C155D29" w14:textId="77777777" w:rsidR="00A657B3" w:rsidRDefault="00A657B3">
      <w:pPr>
        <w:pStyle w:val="FootnoteText"/>
      </w:pPr>
      <w:r>
        <w:rPr>
          <w:rStyle w:val="FootnoteReference"/>
        </w:rPr>
        <w:footnoteRef/>
      </w:r>
      <w:r>
        <w:t xml:space="preserve"> The School Quality and Academic Standards Committee (or equivalent) and/or the School Board depending on the arrangements for delegation of authority by School Boards.</w:t>
      </w:r>
    </w:p>
  </w:footnote>
  <w:footnote w:id="4">
    <w:p w14:paraId="4AA3A784" w14:textId="77777777" w:rsidR="00A657B3" w:rsidRDefault="00A657B3">
      <w:pPr>
        <w:pStyle w:val="FootnoteText"/>
      </w:pPr>
      <w:r>
        <w:rPr>
          <w:rStyle w:val="FootnoteReference"/>
        </w:rPr>
        <w:footnoteRef/>
      </w:r>
      <w:r>
        <w:t xml:space="preserve"> </w:t>
      </w:r>
      <w:r w:rsidRPr="00B77AB5">
        <w:t xml:space="preserve">The suggested minimum period </w:t>
      </w:r>
      <w:r>
        <w:t>is 2 years for</w:t>
      </w:r>
      <w:r w:rsidRPr="00B77AB5">
        <w:t xml:space="preserve"> undergraduate </w:t>
      </w:r>
      <w:r>
        <w:t>programmes and 1 year for</w:t>
      </w:r>
      <w:r w:rsidRPr="00B77AB5">
        <w:t xml:space="preserve"> postgraduate programmes.</w:t>
      </w:r>
    </w:p>
  </w:footnote>
  <w:footnote w:id="5">
    <w:p w14:paraId="25304B16" w14:textId="77777777" w:rsidR="00A657B3" w:rsidRDefault="00A657B3" w:rsidP="00126BD8">
      <w:pPr>
        <w:pStyle w:val="FootnoteText"/>
        <w:rPr>
          <w:b/>
          <w:bCs/>
        </w:rPr>
      </w:pPr>
      <w:r>
        <w:rPr>
          <w:rStyle w:val="FootnoteReference"/>
        </w:rPr>
        <w:footnoteRef/>
      </w:r>
      <w:r>
        <w:t xml:space="preserve"> The Equality Act 2010 describes the terminology of 'protected characteristics' to define groups covered under the legislation. These are Age, Disability, Gender Reassignment, Marriage and Civil Partnership, Pregnancy and Maternity, Race, Religion or Belief, Sex,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C774" w14:textId="77777777" w:rsidR="00A657B3" w:rsidRDefault="00A657B3" w:rsidP="009337BD">
    <w:pPr>
      <w:pStyle w:val="Header"/>
      <w:ind w:left="-284"/>
    </w:pPr>
    <w:r w:rsidRPr="002A7181">
      <w:rPr>
        <w:rFonts w:eastAsia="Calibri"/>
        <w:noProof/>
        <w:sz w:val="24"/>
      </w:rPr>
      <w:drawing>
        <wp:inline distT="0" distB="0" distL="0" distR="0" wp14:anchorId="64DA249B" wp14:editId="1FBB3B08">
          <wp:extent cx="1963241"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UoD_LOGO CMYK@100%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241"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F9"/>
    <w:multiLevelType w:val="multilevel"/>
    <w:tmpl w:val="7E108F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3D037F"/>
    <w:multiLevelType w:val="multilevel"/>
    <w:tmpl w:val="803A91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7BC59C1"/>
    <w:multiLevelType w:val="multilevel"/>
    <w:tmpl w:val="803A91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E0F1A03"/>
    <w:multiLevelType w:val="multilevel"/>
    <w:tmpl w:val="0E16B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7497F46"/>
    <w:multiLevelType w:val="multilevel"/>
    <w:tmpl w:val="EA289C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A1B2411"/>
    <w:multiLevelType w:val="multilevel"/>
    <w:tmpl w:val="D1A077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20C55A99"/>
    <w:multiLevelType w:val="hybridMultilevel"/>
    <w:tmpl w:val="E5FC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F2E04"/>
    <w:multiLevelType w:val="hybridMultilevel"/>
    <w:tmpl w:val="24122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69723D"/>
    <w:multiLevelType w:val="hybridMultilevel"/>
    <w:tmpl w:val="9CD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A4255"/>
    <w:multiLevelType w:val="hybridMultilevel"/>
    <w:tmpl w:val="CBDE9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2C4282"/>
    <w:multiLevelType w:val="multilevel"/>
    <w:tmpl w:val="926A9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BC958C3"/>
    <w:multiLevelType w:val="hybridMultilevel"/>
    <w:tmpl w:val="94EEE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F6626"/>
    <w:multiLevelType w:val="multilevel"/>
    <w:tmpl w:val="1DB4E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1F46AEC"/>
    <w:multiLevelType w:val="multilevel"/>
    <w:tmpl w:val="B044C6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75834FE"/>
    <w:multiLevelType w:val="multilevel"/>
    <w:tmpl w:val="64DA8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E2F1984"/>
    <w:multiLevelType w:val="multilevel"/>
    <w:tmpl w:val="4A620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FB8002A"/>
    <w:multiLevelType w:val="hybridMultilevel"/>
    <w:tmpl w:val="18B89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E2440A"/>
    <w:multiLevelType w:val="multilevel"/>
    <w:tmpl w:val="1DB4E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532213F0"/>
    <w:multiLevelType w:val="multilevel"/>
    <w:tmpl w:val="2AD8F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DF005AF"/>
    <w:multiLevelType w:val="multilevel"/>
    <w:tmpl w:val="974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830DA"/>
    <w:multiLevelType w:val="multilevel"/>
    <w:tmpl w:val="B044C6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69AF2B06"/>
    <w:multiLevelType w:val="multilevel"/>
    <w:tmpl w:val="764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F20A5"/>
    <w:multiLevelType w:val="multilevel"/>
    <w:tmpl w:val="1DB4E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6F4A3D9C"/>
    <w:multiLevelType w:val="multilevel"/>
    <w:tmpl w:val="7E108F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71620C17"/>
    <w:multiLevelType w:val="multilevel"/>
    <w:tmpl w:val="0E16B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76FF6262"/>
    <w:multiLevelType w:val="multilevel"/>
    <w:tmpl w:val="7E108F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77095604"/>
    <w:multiLevelType w:val="multilevel"/>
    <w:tmpl w:val="B044C6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77B4128D"/>
    <w:multiLevelType w:val="multilevel"/>
    <w:tmpl w:val="AB68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D165E"/>
    <w:multiLevelType w:val="hybridMultilevel"/>
    <w:tmpl w:val="94EEE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0A4707"/>
    <w:multiLevelType w:val="hybridMultilevel"/>
    <w:tmpl w:val="22D46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3E4FBB"/>
    <w:multiLevelType w:val="multilevel"/>
    <w:tmpl w:val="F7063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6"/>
  </w:num>
  <w:num w:numId="4">
    <w:abstractNumId w:val="30"/>
  </w:num>
  <w:num w:numId="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16"/>
  </w:num>
  <w:num w:numId="9">
    <w:abstractNumId w:val="9"/>
  </w:num>
  <w:num w:numId="1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9"/>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EE"/>
    <w:rsid w:val="00000E22"/>
    <w:rsid w:val="0000127F"/>
    <w:rsid w:val="00001B82"/>
    <w:rsid w:val="00001C35"/>
    <w:rsid w:val="000022D0"/>
    <w:rsid w:val="00002540"/>
    <w:rsid w:val="00003DA8"/>
    <w:rsid w:val="0000455C"/>
    <w:rsid w:val="00005126"/>
    <w:rsid w:val="0000564D"/>
    <w:rsid w:val="00005DBB"/>
    <w:rsid w:val="00005EEB"/>
    <w:rsid w:val="00006E4C"/>
    <w:rsid w:val="000109F7"/>
    <w:rsid w:val="00011064"/>
    <w:rsid w:val="0001137E"/>
    <w:rsid w:val="0001170A"/>
    <w:rsid w:val="000142F9"/>
    <w:rsid w:val="00016047"/>
    <w:rsid w:val="000163D9"/>
    <w:rsid w:val="00016937"/>
    <w:rsid w:val="00016AB3"/>
    <w:rsid w:val="0001773A"/>
    <w:rsid w:val="0001774C"/>
    <w:rsid w:val="000208A9"/>
    <w:rsid w:val="00021E46"/>
    <w:rsid w:val="00021E4C"/>
    <w:rsid w:val="00021E54"/>
    <w:rsid w:val="0002393C"/>
    <w:rsid w:val="00023B8C"/>
    <w:rsid w:val="00023D93"/>
    <w:rsid w:val="000241B6"/>
    <w:rsid w:val="00024A5F"/>
    <w:rsid w:val="00025493"/>
    <w:rsid w:val="00025665"/>
    <w:rsid w:val="0002572F"/>
    <w:rsid w:val="00027CB6"/>
    <w:rsid w:val="000307A9"/>
    <w:rsid w:val="00031B76"/>
    <w:rsid w:val="00032607"/>
    <w:rsid w:val="00033E70"/>
    <w:rsid w:val="00036776"/>
    <w:rsid w:val="00036A50"/>
    <w:rsid w:val="00036F0A"/>
    <w:rsid w:val="0003739A"/>
    <w:rsid w:val="00037675"/>
    <w:rsid w:val="00037AB1"/>
    <w:rsid w:val="00040D32"/>
    <w:rsid w:val="0004141B"/>
    <w:rsid w:val="00041602"/>
    <w:rsid w:val="00041644"/>
    <w:rsid w:val="0004303C"/>
    <w:rsid w:val="00043273"/>
    <w:rsid w:val="00043648"/>
    <w:rsid w:val="00043C69"/>
    <w:rsid w:val="000445FA"/>
    <w:rsid w:val="000457A7"/>
    <w:rsid w:val="00045FD9"/>
    <w:rsid w:val="000461A9"/>
    <w:rsid w:val="00046830"/>
    <w:rsid w:val="000478EF"/>
    <w:rsid w:val="000501E9"/>
    <w:rsid w:val="000540A9"/>
    <w:rsid w:val="000565CB"/>
    <w:rsid w:val="0005723D"/>
    <w:rsid w:val="0005743E"/>
    <w:rsid w:val="0006326B"/>
    <w:rsid w:val="000633C5"/>
    <w:rsid w:val="000634E4"/>
    <w:rsid w:val="000637DF"/>
    <w:rsid w:val="00063F4A"/>
    <w:rsid w:val="00064320"/>
    <w:rsid w:val="0006494A"/>
    <w:rsid w:val="00064E43"/>
    <w:rsid w:val="00065047"/>
    <w:rsid w:val="00065BFD"/>
    <w:rsid w:val="00066F55"/>
    <w:rsid w:val="00070DFE"/>
    <w:rsid w:val="00071783"/>
    <w:rsid w:val="00071885"/>
    <w:rsid w:val="0007195D"/>
    <w:rsid w:val="000729B0"/>
    <w:rsid w:val="00074DBE"/>
    <w:rsid w:val="000769DD"/>
    <w:rsid w:val="00076DC4"/>
    <w:rsid w:val="00076E04"/>
    <w:rsid w:val="000779B8"/>
    <w:rsid w:val="0008096A"/>
    <w:rsid w:val="00080DD6"/>
    <w:rsid w:val="000832EE"/>
    <w:rsid w:val="00084475"/>
    <w:rsid w:val="000848D7"/>
    <w:rsid w:val="00084A08"/>
    <w:rsid w:val="000867AD"/>
    <w:rsid w:val="00086EE7"/>
    <w:rsid w:val="00086FCF"/>
    <w:rsid w:val="00090A23"/>
    <w:rsid w:val="00091059"/>
    <w:rsid w:val="00091123"/>
    <w:rsid w:val="000916A2"/>
    <w:rsid w:val="00092E0B"/>
    <w:rsid w:val="00093B18"/>
    <w:rsid w:val="00093BAC"/>
    <w:rsid w:val="00093CAA"/>
    <w:rsid w:val="00093CF8"/>
    <w:rsid w:val="00093D21"/>
    <w:rsid w:val="00094760"/>
    <w:rsid w:val="00094A59"/>
    <w:rsid w:val="00094E5C"/>
    <w:rsid w:val="00094E80"/>
    <w:rsid w:val="00095185"/>
    <w:rsid w:val="00096CBE"/>
    <w:rsid w:val="0009758D"/>
    <w:rsid w:val="00097597"/>
    <w:rsid w:val="000A1AB7"/>
    <w:rsid w:val="000A2EE5"/>
    <w:rsid w:val="000A3299"/>
    <w:rsid w:val="000A382A"/>
    <w:rsid w:val="000A40AB"/>
    <w:rsid w:val="000A4E75"/>
    <w:rsid w:val="000A59E5"/>
    <w:rsid w:val="000A670A"/>
    <w:rsid w:val="000A6851"/>
    <w:rsid w:val="000A6C97"/>
    <w:rsid w:val="000A6CD8"/>
    <w:rsid w:val="000A6E2B"/>
    <w:rsid w:val="000A7AB4"/>
    <w:rsid w:val="000A7F16"/>
    <w:rsid w:val="000B0657"/>
    <w:rsid w:val="000B095E"/>
    <w:rsid w:val="000B0D3A"/>
    <w:rsid w:val="000B124C"/>
    <w:rsid w:val="000B1F32"/>
    <w:rsid w:val="000B2769"/>
    <w:rsid w:val="000B278E"/>
    <w:rsid w:val="000B378D"/>
    <w:rsid w:val="000B45E4"/>
    <w:rsid w:val="000B541F"/>
    <w:rsid w:val="000B5B7A"/>
    <w:rsid w:val="000B7762"/>
    <w:rsid w:val="000B7C8B"/>
    <w:rsid w:val="000C00C4"/>
    <w:rsid w:val="000C0134"/>
    <w:rsid w:val="000C0CC8"/>
    <w:rsid w:val="000C1707"/>
    <w:rsid w:val="000C1789"/>
    <w:rsid w:val="000C1D90"/>
    <w:rsid w:val="000C1ED9"/>
    <w:rsid w:val="000C24B4"/>
    <w:rsid w:val="000C2C59"/>
    <w:rsid w:val="000C2C8B"/>
    <w:rsid w:val="000C2EAE"/>
    <w:rsid w:val="000C366C"/>
    <w:rsid w:val="000C3A7B"/>
    <w:rsid w:val="000C3DCB"/>
    <w:rsid w:val="000C4040"/>
    <w:rsid w:val="000C50F5"/>
    <w:rsid w:val="000C546E"/>
    <w:rsid w:val="000C5C20"/>
    <w:rsid w:val="000C7621"/>
    <w:rsid w:val="000D0047"/>
    <w:rsid w:val="000D1BD2"/>
    <w:rsid w:val="000D275B"/>
    <w:rsid w:val="000D2B6F"/>
    <w:rsid w:val="000D3006"/>
    <w:rsid w:val="000D3A12"/>
    <w:rsid w:val="000D4E56"/>
    <w:rsid w:val="000D4E89"/>
    <w:rsid w:val="000D5BA2"/>
    <w:rsid w:val="000D6B87"/>
    <w:rsid w:val="000D7E03"/>
    <w:rsid w:val="000D7EDC"/>
    <w:rsid w:val="000E0786"/>
    <w:rsid w:val="000E183A"/>
    <w:rsid w:val="000E1DA3"/>
    <w:rsid w:val="000E2347"/>
    <w:rsid w:val="000E2510"/>
    <w:rsid w:val="000E3B6C"/>
    <w:rsid w:val="000E47C9"/>
    <w:rsid w:val="000E47E5"/>
    <w:rsid w:val="000E4F2B"/>
    <w:rsid w:val="000E5319"/>
    <w:rsid w:val="000E5F66"/>
    <w:rsid w:val="000E7C57"/>
    <w:rsid w:val="000F17ED"/>
    <w:rsid w:val="000F1D0B"/>
    <w:rsid w:val="000F1D30"/>
    <w:rsid w:val="000F257B"/>
    <w:rsid w:val="000F2DF8"/>
    <w:rsid w:val="000F3101"/>
    <w:rsid w:val="000F3E4A"/>
    <w:rsid w:val="000F428C"/>
    <w:rsid w:val="000F42A1"/>
    <w:rsid w:val="000F596F"/>
    <w:rsid w:val="000F6F1C"/>
    <w:rsid w:val="000F7BC4"/>
    <w:rsid w:val="000F7E2F"/>
    <w:rsid w:val="000F7E79"/>
    <w:rsid w:val="001000EC"/>
    <w:rsid w:val="00100CC5"/>
    <w:rsid w:val="00100FA4"/>
    <w:rsid w:val="0010114D"/>
    <w:rsid w:val="0010254B"/>
    <w:rsid w:val="001027C3"/>
    <w:rsid w:val="00102D2F"/>
    <w:rsid w:val="00102E89"/>
    <w:rsid w:val="001032F8"/>
    <w:rsid w:val="0010423E"/>
    <w:rsid w:val="001048E9"/>
    <w:rsid w:val="001056C0"/>
    <w:rsid w:val="00105B31"/>
    <w:rsid w:val="00107B4D"/>
    <w:rsid w:val="0011121C"/>
    <w:rsid w:val="0011140E"/>
    <w:rsid w:val="001131EE"/>
    <w:rsid w:val="0011421C"/>
    <w:rsid w:val="001145BB"/>
    <w:rsid w:val="001149F0"/>
    <w:rsid w:val="001152DA"/>
    <w:rsid w:val="00115A4A"/>
    <w:rsid w:val="00117B81"/>
    <w:rsid w:val="001206A4"/>
    <w:rsid w:val="00120D68"/>
    <w:rsid w:val="001210F9"/>
    <w:rsid w:val="0012175B"/>
    <w:rsid w:val="0012247D"/>
    <w:rsid w:val="00122499"/>
    <w:rsid w:val="001227CF"/>
    <w:rsid w:val="001230FA"/>
    <w:rsid w:val="00123A51"/>
    <w:rsid w:val="00123F60"/>
    <w:rsid w:val="0012422C"/>
    <w:rsid w:val="00124B2C"/>
    <w:rsid w:val="00125014"/>
    <w:rsid w:val="00125A09"/>
    <w:rsid w:val="00126784"/>
    <w:rsid w:val="00126BD8"/>
    <w:rsid w:val="00127507"/>
    <w:rsid w:val="00130640"/>
    <w:rsid w:val="00131E07"/>
    <w:rsid w:val="001338B9"/>
    <w:rsid w:val="00133BC7"/>
    <w:rsid w:val="0013435E"/>
    <w:rsid w:val="00134448"/>
    <w:rsid w:val="00134774"/>
    <w:rsid w:val="00134E04"/>
    <w:rsid w:val="00135BAB"/>
    <w:rsid w:val="00136B0B"/>
    <w:rsid w:val="001414D4"/>
    <w:rsid w:val="001415AA"/>
    <w:rsid w:val="0014195C"/>
    <w:rsid w:val="001419D3"/>
    <w:rsid w:val="00141BD9"/>
    <w:rsid w:val="001422DB"/>
    <w:rsid w:val="00142429"/>
    <w:rsid w:val="00142555"/>
    <w:rsid w:val="0014289C"/>
    <w:rsid w:val="00143263"/>
    <w:rsid w:val="001433EB"/>
    <w:rsid w:val="001449D6"/>
    <w:rsid w:val="00144F99"/>
    <w:rsid w:val="00145744"/>
    <w:rsid w:val="00150E34"/>
    <w:rsid w:val="00152565"/>
    <w:rsid w:val="00152CCC"/>
    <w:rsid w:val="00154644"/>
    <w:rsid w:val="0015492C"/>
    <w:rsid w:val="00160835"/>
    <w:rsid w:val="00160A92"/>
    <w:rsid w:val="00162B20"/>
    <w:rsid w:val="0016488F"/>
    <w:rsid w:val="0016500A"/>
    <w:rsid w:val="00165531"/>
    <w:rsid w:val="001657CF"/>
    <w:rsid w:val="00165CEC"/>
    <w:rsid w:val="00165D3A"/>
    <w:rsid w:val="0016710F"/>
    <w:rsid w:val="00167D7D"/>
    <w:rsid w:val="00167EFA"/>
    <w:rsid w:val="00170968"/>
    <w:rsid w:val="00171639"/>
    <w:rsid w:val="00171D9B"/>
    <w:rsid w:val="001728DD"/>
    <w:rsid w:val="00172AF4"/>
    <w:rsid w:val="00172FE9"/>
    <w:rsid w:val="00174706"/>
    <w:rsid w:val="001755CF"/>
    <w:rsid w:val="00180ACD"/>
    <w:rsid w:val="00180D79"/>
    <w:rsid w:val="0018143D"/>
    <w:rsid w:val="00181674"/>
    <w:rsid w:val="00182761"/>
    <w:rsid w:val="00184A81"/>
    <w:rsid w:val="001852DB"/>
    <w:rsid w:val="00186100"/>
    <w:rsid w:val="00186A1C"/>
    <w:rsid w:val="00187455"/>
    <w:rsid w:val="0018749D"/>
    <w:rsid w:val="00190089"/>
    <w:rsid w:val="0019128E"/>
    <w:rsid w:val="0019147B"/>
    <w:rsid w:val="001914FE"/>
    <w:rsid w:val="00191554"/>
    <w:rsid w:val="00191C9D"/>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3DDE"/>
    <w:rsid w:val="001A4B04"/>
    <w:rsid w:val="001A5D4E"/>
    <w:rsid w:val="001A60DE"/>
    <w:rsid w:val="001A644D"/>
    <w:rsid w:val="001A64DD"/>
    <w:rsid w:val="001A759A"/>
    <w:rsid w:val="001B01E9"/>
    <w:rsid w:val="001B3250"/>
    <w:rsid w:val="001B3514"/>
    <w:rsid w:val="001B3FB8"/>
    <w:rsid w:val="001B5C1D"/>
    <w:rsid w:val="001B5CBD"/>
    <w:rsid w:val="001B5DAE"/>
    <w:rsid w:val="001B5E87"/>
    <w:rsid w:val="001C2877"/>
    <w:rsid w:val="001C35FB"/>
    <w:rsid w:val="001C3EEC"/>
    <w:rsid w:val="001C4705"/>
    <w:rsid w:val="001C4C12"/>
    <w:rsid w:val="001C6D9F"/>
    <w:rsid w:val="001C7C74"/>
    <w:rsid w:val="001D0FB5"/>
    <w:rsid w:val="001D2BF8"/>
    <w:rsid w:val="001D30A1"/>
    <w:rsid w:val="001D44E2"/>
    <w:rsid w:val="001D46B9"/>
    <w:rsid w:val="001D4D03"/>
    <w:rsid w:val="001D5409"/>
    <w:rsid w:val="001D5B9C"/>
    <w:rsid w:val="001D5CBC"/>
    <w:rsid w:val="001D7E47"/>
    <w:rsid w:val="001E1747"/>
    <w:rsid w:val="001E1846"/>
    <w:rsid w:val="001E2A2C"/>
    <w:rsid w:val="001E2F15"/>
    <w:rsid w:val="001E45CC"/>
    <w:rsid w:val="001E57F3"/>
    <w:rsid w:val="001E5F82"/>
    <w:rsid w:val="001E793B"/>
    <w:rsid w:val="001E7D4F"/>
    <w:rsid w:val="001F03A0"/>
    <w:rsid w:val="001F06DA"/>
    <w:rsid w:val="001F0B5E"/>
    <w:rsid w:val="001F0B7C"/>
    <w:rsid w:val="001F151F"/>
    <w:rsid w:val="001F1B23"/>
    <w:rsid w:val="001F2163"/>
    <w:rsid w:val="001F35B3"/>
    <w:rsid w:val="001F37D7"/>
    <w:rsid w:val="001F44F0"/>
    <w:rsid w:val="001F4A9C"/>
    <w:rsid w:val="001F5F26"/>
    <w:rsid w:val="001F5F71"/>
    <w:rsid w:val="001F6C53"/>
    <w:rsid w:val="00200BCB"/>
    <w:rsid w:val="00200DAB"/>
    <w:rsid w:val="0020138C"/>
    <w:rsid w:val="0020214D"/>
    <w:rsid w:val="002025AA"/>
    <w:rsid w:val="0020278C"/>
    <w:rsid w:val="00202E4A"/>
    <w:rsid w:val="002036F0"/>
    <w:rsid w:val="002049A6"/>
    <w:rsid w:val="00205228"/>
    <w:rsid w:val="00205956"/>
    <w:rsid w:val="002067A8"/>
    <w:rsid w:val="0020688F"/>
    <w:rsid w:val="002068F3"/>
    <w:rsid w:val="0020714A"/>
    <w:rsid w:val="0020743E"/>
    <w:rsid w:val="00207B06"/>
    <w:rsid w:val="002104BA"/>
    <w:rsid w:val="002111D6"/>
    <w:rsid w:val="002113DD"/>
    <w:rsid w:val="00211807"/>
    <w:rsid w:val="00212126"/>
    <w:rsid w:val="00213FAB"/>
    <w:rsid w:val="0021573B"/>
    <w:rsid w:val="00215CE5"/>
    <w:rsid w:val="0021644F"/>
    <w:rsid w:val="002176E6"/>
    <w:rsid w:val="00217B41"/>
    <w:rsid w:val="00220B7E"/>
    <w:rsid w:val="00220B86"/>
    <w:rsid w:val="00220CDA"/>
    <w:rsid w:val="00221445"/>
    <w:rsid w:val="002227E5"/>
    <w:rsid w:val="00222E63"/>
    <w:rsid w:val="00223492"/>
    <w:rsid w:val="00223580"/>
    <w:rsid w:val="00224272"/>
    <w:rsid w:val="00224DC9"/>
    <w:rsid w:val="00225284"/>
    <w:rsid w:val="00226174"/>
    <w:rsid w:val="00226209"/>
    <w:rsid w:val="002262FE"/>
    <w:rsid w:val="00226DD2"/>
    <w:rsid w:val="00226F6E"/>
    <w:rsid w:val="002271F1"/>
    <w:rsid w:val="00230D64"/>
    <w:rsid w:val="00231055"/>
    <w:rsid w:val="0023154D"/>
    <w:rsid w:val="0023287A"/>
    <w:rsid w:val="00233B12"/>
    <w:rsid w:val="00234074"/>
    <w:rsid w:val="002340DF"/>
    <w:rsid w:val="00234342"/>
    <w:rsid w:val="00234E97"/>
    <w:rsid w:val="00235E81"/>
    <w:rsid w:val="0023639D"/>
    <w:rsid w:val="002365D9"/>
    <w:rsid w:val="00237A46"/>
    <w:rsid w:val="00237F5D"/>
    <w:rsid w:val="00240A75"/>
    <w:rsid w:val="00240A90"/>
    <w:rsid w:val="00242427"/>
    <w:rsid w:val="002429EC"/>
    <w:rsid w:val="002431F3"/>
    <w:rsid w:val="0024401C"/>
    <w:rsid w:val="00244057"/>
    <w:rsid w:val="00246DA0"/>
    <w:rsid w:val="00247657"/>
    <w:rsid w:val="00251B85"/>
    <w:rsid w:val="00251F10"/>
    <w:rsid w:val="00252A84"/>
    <w:rsid w:val="00254216"/>
    <w:rsid w:val="00254840"/>
    <w:rsid w:val="00256DCE"/>
    <w:rsid w:val="002570EA"/>
    <w:rsid w:val="002610BE"/>
    <w:rsid w:val="00263A46"/>
    <w:rsid w:val="00263C42"/>
    <w:rsid w:val="0026489E"/>
    <w:rsid w:val="00264D36"/>
    <w:rsid w:val="00265261"/>
    <w:rsid w:val="002652EC"/>
    <w:rsid w:val="0026547B"/>
    <w:rsid w:val="00266653"/>
    <w:rsid w:val="00266B36"/>
    <w:rsid w:val="00271061"/>
    <w:rsid w:val="00271FB7"/>
    <w:rsid w:val="00272405"/>
    <w:rsid w:val="002731B4"/>
    <w:rsid w:val="002735B2"/>
    <w:rsid w:val="00274031"/>
    <w:rsid w:val="00274686"/>
    <w:rsid w:val="002752E4"/>
    <w:rsid w:val="00275BE5"/>
    <w:rsid w:val="002763E2"/>
    <w:rsid w:val="002777E8"/>
    <w:rsid w:val="00277BCB"/>
    <w:rsid w:val="00277D20"/>
    <w:rsid w:val="00277D4B"/>
    <w:rsid w:val="002812D2"/>
    <w:rsid w:val="00281BC1"/>
    <w:rsid w:val="002821B0"/>
    <w:rsid w:val="0028287C"/>
    <w:rsid w:val="00282B97"/>
    <w:rsid w:val="002839B6"/>
    <w:rsid w:val="00284395"/>
    <w:rsid w:val="00285BF1"/>
    <w:rsid w:val="00285F5E"/>
    <w:rsid w:val="0028652B"/>
    <w:rsid w:val="0028654A"/>
    <w:rsid w:val="0028740A"/>
    <w:rsid w:val="00287820"/>
    <w:rsid w:val="00287BA5"/>
    <w:rsid w:val="00290EC1"/>
    <w:rsid w:val="00291DD3"/>
    <w:rsid w:val="002939D3"/>
    <w:rsid w:val="002943C1"/>
    <w:rsid w:val="00294F41"/>
    <w:rsid w:val="00295085"/>
    <w:rsid w:val="00295668"/>
    <w:rsid w:val="00297624"/>
    <w:rsid w:val="002A00A6"/>
    <w:rsid w:val="002A0531"/>
    <w:rsid w:val="002A12AE"/>
    <w:rsid w:val="002A1CE9"/>
    <w:rsid w:val="002A1FA9"/>
    <w:rsid w:val="002A2958"/>
    <w:rsid w:val="002A2B8E"/>
    <w:rsid w:val="002A5ECD"/>
    <w:rsid w:val="002A65D6"/>
    <w:rsid w:val="002A7181"/>
    <w:rsid w:val="002B1807"/>
    <w:rsid w:val="002B288F"/>
    <w:rsid w:val="002B47D1"/>
    <w:rsid w:val="002B5D4F"/>
    <w:rsid w:val="002B744C"/>
    <w:rsid w:val="002B76F8"/>
    <w:rsid w:val="002C0127"/>
    <w:rsid w:val="002C0746"/>
    <w:rsid w:val="002C167D"/>
    <w:rsid w:val="002C3AC6"/>
    <w:rsid w:val="002C4088"/>
    <w:rsid w:val="002C4D98"/>
    <w:rsid w:val="002C57B8"/>
    <w:rsid w:val="002C5F66"/>
    <w:rsid w:val="002C6206"/>
    <w:rsid w:val="002C6368"/>
    <w:rsid w:val="002C660B"/>
    <w:rsid w:val="002C6F72"/>
    <w:rsid w:val="002D051C"/>
    <w:rsid w:val="002D1C0C"/>
    <w:rsid w:val="002D2422"/>
    <w:rsid w:val="002D2EC6"/>
    <w:rsid w:val="002D35FE"/>
    <w:rsid w:val="002D481C"/>
    <w:rsid w:val="002D4CFE"/>
    <w:rsid w:val="002D51ED"/>
    <w:rsid w:val="002D65AE"/>
    <w:rsid w:val="002D7316"/>
    <w:rsid w:val="002D7F42"/>
    <w:rsid w:val="002E1926"/>
    <w:rsid w:val="002E1B78"/>
    <w:rsid w:val="002E28C8"/>
    <w:rsid w:val="002E291B"/>
    <w:rsid w:val="002E32C5"/>
    <w:rsid w:val="002E38BB"/>
    <w:rsid w:val="002E4735"/>
    <w:rsid w:val="002E4C3C"/>
    <w:rsid w:val="002E547D"/>
    <w:rsid w:val="002E555D"/>
    <w:rsid w:val="002E5861"/>
    <w:rsid w:val="002E5C49"/>
    <w:rsid w:val="002E6CEA"/>
    <w:rsid w:val="002E6E11"/>
    <w:rsid w:val="002F0BBB"/>
    <w:rsid w:val="002F0EC3"/>
    <w:rsid w:val="002F1155"/>
    <w:rsid w:val="002F1AF7"/>
    <w:rsid w:val="002F3746"/>
    <w:rsid w:val="002F4206"/>
    <w:rsid w:val="002F4308"/>
    <w:rsid w:val="002F49DC"/>
    <w:rsid w:val="002F5033"/>
    <w:rsid w:val="002F74B3"/>
    <w:rsid w:val="002F75A9"/>
    <w:rsid w:val="003006A9"/>
    <w:rsid w:val="00300746"/>
    <w:rsid w:val="003013C3"/>
    <w:rsid w:val="0030223E"/>
    <w:rsid w:val="0030262B"/>
    <w:rsid w:val="0030266A"/>
    <w:rsid w:val="00302B00"/>
    <w:rsid w:val="00304493"/>
    <w:rsid w:val="0030476B"/>
    <w:rsid w:val="00304A86"/>
    <w:rsid w:val="00305639"/>
    <w:rsid w:val="00305A05"/>
    <w:rsid w:val="00307F60"/>
    <w:rsid w:val="003101D0"/>
    <w:rsid w:val="003105C7"/>
    <w:rsid w:val="0031121D"/>
    <w:rsid w:val="0031247F"/>
    <w:rsid w:val="00313C1B"/>
    <w:rsid w:val="003148E3"/>
    <w:rsid w:val="003150A5"/>
    <w:rsid w:val="00315467"/>
    <w:rsid w:val="00316272"/>
    <w:rsid w:val="003164FF"/>
    <w:rsid w:val="003166F9"/>
    <w:rsid w:val="00317904"/>
    <w:rsid w:val="003207FB"/>
    <w:rsid w:val="0032112D"/>
    <w:rsid w:val="003220BB"/>
    <w:rsid w:val="003227B4"/>
    <w:rsid w:val="00322AE3"/>
    <w:rsid w:val="00322D09"/>
    <w:rsid w:val="00322ED0"/>
    <w:rsid w:val="00323177"/>
    <w:rsid w:val="0032326E"/>
    <w:rsid w:val="0032352D"/>
    <w:rsid w:val="00324CE8"/>
    <w:rsid w:val="00324F52"/>
    <w:rsid w:val="00324FDF"/>
    <w:rsid w:val="003254DB"/>
    <w:rsid w:val="00326D0B"/>
    <w:rsid w:val="00326DF1"/>
    <w:rsid w:val="0032710D"/>
    <w:rsid w:val="00330DC6"/>
    <w:rsid w:val="0033151A"/>
    <w:rsid w:val="00331CB8"/>
    <w:rsid w:val="00332276"/>
    <w:rsid w:val="00332297"/>
    <w:rsid w:val="003328B8"/>
    <w:rsid w:val="00333317"/>
    <w:rsid w:val="00333F59"/>
    <w:rsid w:val="003344FA"/>
    <w:rsid w:val="00334B49"/>
    <w:rsid w:val="00334F6E"/>
    <w:rsid w:val="003368A8"/>
    <w:rsid w:val="0033703F"/>
    <w:rsid w:val="003411DD"/>
    <w:rsid w:val="00341500"/>
    <w:rsid w:val="003421B3"/>
    <w:rsid w:val="0034344E"/>
    <w:rsid w:val="003454F9"/>
    <w:rsid w:val="003471FB"/>
    <w:rsid w:val="003473C4"/>
    <w:rsid w:val="003475F7"/>
    <w:rsid w:val="0034790B"/>
    <w:rsid w:val="00350436"/>
    <w:rsid w:val="00351184"/>
    <w:rsid w:val="003517EA"/>
    <w:rsid w:val="00353774"/>
    <w:rsid w:val="003544CA"/>
    <w:rsid w:val="00356118"/>
    <w:rsid w:val="00356E1B"/>
    <w:rsid w:val="00356E93"/>
    <w:rsid w:val="00357B7E"/>
    <w:rsid w:val="00361A4F"/>
    <w:rsid w:val="0036450E"/>
    <w:rsid w:val="00366325"/>
    <w:rsid w:val="00366754"/>
    <w:rsid w:val="00366A52"/>
    <w:rsid w:val="00370EA8"/>
    <w:rsid w:val="00371B20"/>
    <w:rsid w:val="003720B2"/>
    <w:rsid w:val="0037219E"/>
    <w:rsid w:val="003731D9"/>
    <w:rsid w:val="00373836"/>
    <w:rsid w:val="00373A1D"/>
    <w:rsid w:val="00374483"/>
    <w:rsid w:val="003747F8"/>
    <w:rsid w:val="00375766"/>
    <w:rsid w:val="00375DAC"/>
    <w:rsid w:val="00376849"/>
    <w:rsid w:val="0037722D"/>
    <w:rsid w:val="003777DB"/>
    <w:rsid w:val="0037786B"/>
    <w:rsid w:val="00380104"/>
    <w:rsid w:val="00380734"/>
    <w:rsid w:val="0038219F"/>
    <w:rsid w:val="0038387C"/>
    <w:rsid w:val="003845B2"/>
    <w:rsid w:val="0038527F"/>
    <w:rsid w:val="00385E3D"/>
    <w:rsid w:val="00387329"/>
    <w:rsid w:val="0038759E"/>
    <w:rsid w:val="0038765E"/>
    <w:rsid w:val="00387881"/>
    <w:rsid w:val="0039134E"/>
    <w:rsid w:val="00392807"/>
    <w:rsid w:val="003945AE"/>
    <w:rsid w:val="00394790"/>
    <w:rsid w:val="003959FD"/>
    <w:rsid w:val="00395E12"/>
    <w:rsid w:val="0039632F"/>
    <w:rsid w:val="00396DE7"/>
    <w:rsid w:val="003A01FA"/>
    <w:rsid w:val="003A0403"/>
    <w:rsid w:val="003A0CFC"/>
    <w:rsid w:val="003A1C0A"/>
    <w:rsid w:val="003A2022"/>
    <w:rsid w:val="003A24D5"/>
    <w:rsid w:val="003A26C7"/>
    <w:rsid w:val="003A2783"/>
    <w:rsid w:val="003A27E0"/>
    <w:rsid w:val="003A299E"/>
    <w:rsid w:val="003A2C7B"/>
    <w:rsid w:val="003A5255"/>
    <w:rsid w:val="003A5641"/>
    <w:rsid w:val="003A61CC"/>
    <w:rsid w:val="003A6354"/>
    <w:rsid w:val="003A63F9"/>
    <w:rsid w:val="003B008C"/>
    <w:rsid w:val="003B189C"/>
    <w:rsid w:val="003B19DE"/>
    <w:rsid w:val="003B1BCB"/>
    <w:rsid w:val="003B243A"/>
    <w:rsid w:val="003B25A7"/>
    <w:rsid w:val="003B2A06"/>
    <w:rsid w:val="003B3200"/>
    <w:rsid w:val="003B3285"/>
    <w:rsid w:val="003B3DD6"/>
    <w:rsid w:val="003B69ED"/>
    <w:rsid w:val="003B6B54"/>
    <w:rsid w:val="003B768E"/>
    <w:rsid w:val="003C0350"/>
    <w:rsid w:val="003C0857"/>
    <w:rsid w:val="003C095C"/>
    <w:rsid w:val="003C0AD7"/>
    <w:rsid w:val="003C129E"/>
    <w:rsid w:val="003C38F2"/>
    <w:rsid w:val="003C39CD"/>
    <w:rsid w:val="003C44F2"/>
    <w:rsid w:val="003C57D7"/>
    <w:rsid w:val="003C5A39"/>
    <w:rsid w:val="003C675D"/>
    <w:rsid w:val="003C7313"/>
    <w:rsid w:val="003D03FF"/>
    <w:rsid w:val="003D0770"/>
    <w:rsid w:val="003D079F"/>
    <w:rsid w:val="003D2687"/>
    <w:rsid w:val="003D295E"/>
    <w:rsid w:val="003D2BB0"/>
    <w:rsid w:val="003D4D84"/>
    <w:rsid w:val="003D6944"/>
    <w:rsid w:val="003D6AA8"/>
    <w:rsid w:val="003D70F2"/>
    <w:rsid w:val="003E22BF"/>
    <w:rsid w:val="003E68F3"/>
    <w:rsid w:val="003F0149"/>
    <w:rsid w:val="003F0D17"/>
    <w:rsid w:val="003F15FA"/>
    <w:rsid w:val="003F1677"/>
    <w:rsid w:val="003F2F82"/>
    <w:rsid w:val="003F4475"/>
    <w:rsid w:val="003F49A1"/>
    <w:rsid w:val="003F503A"/>
    <w:rsid w:val="003F701E"/>
    <w:rsid w:val="003F76B2"/>
    <w:rsid w:val="0040035F"/>
    <w:rsid w:val="00401664"/>
    <w:rsid w:val="00401791"/>
    <w:rsid w:val="004022AE"/>
    <w:rsid w:val="004032A6"/>
    <w:rsid w:val="004042F6"/>
    <w:rsid w:val="00405405"/>
    <w:rsid w:val="00407613"/>
    <w:rsid w:val="0040792C"/>
    <w:rsid w:val="00410AA7"/>
    <w:rsid w:val="00411207"/>
    <w:rsid w:val="00411936"/>
    <w:rsid w:val="00412E7F"/>
    <w:rsid w:val="00413598"/>
    <w:rsid w:val="00415948"/>
    <w:rsid w:val="004159D8"/>
    <w:rsid w:val="00416A86"/>
    <w:rsid w:val="004172F5"/>
    <w:rsid w:val="00417742"/>
    <w:rsid w:val="00423774"/>
    <w:rsid w:val="00424294"/>
    <w:rsid w:val="00424E32"/>
    <w:rsid w:val="00426223"/>
    <w:rsid w:val="004268E8"/>
    <w:rsid w:val="00427E57"/>
    <w:rsid w:val="00427E86"/>
    <w:rsid w:val="004302B6"/>
    <w:rsid w:val="00430FF5"/>
    <w:rsid w:val="00431451"/>
    <w:rsid w:val="00431B85"/>
    <w:rsid w:val="004326D4"/>
    <w:rsid w:val="00433E72"/>
    <w:rsid w:val="00436206"/>
    <w:rsid w:val="00437375"/>
    <w:rsid w:val="00437FD3"/>
    <w:rsid w:val="004413F2"/>
    <w:rsid w:val="00441C5A"/>
    <w:rsid w:val="004426D1"/>
    <w:rsid w:val="004438A1"/>
    <w:rsid w:val="00445518"/>
    <w:rsid w:val="00446916"/>
    <w:rsid w:val="004469EB"/>
    <w:rsid w:val="004479CD"/>
    <w:rsid w:val="004501E0"/>
    <w:rsid w:val="004507C8"/>
    <w:rsid w:val="004509BD"/>
    <w:rsid w:val="00453840"/>
    <w:rsid w:val="0045407C"/>
    <w:rsid w:val="00454E10"/>
    <w:rsid w:val="00454F4A"/>
    <w:rsid w:val="004558F1"/>
    <w:rsid w:val="00456EF8"/>
    <w:rsid w:val="00457751"/>
    <w:rsid w:val="00460111"/>
    <w:rsid w:val="0046052D"/>
    <w:rsid w:val="00460CF1"/>
    <w:rsid w:val="00460DDF"/>
    <w:rsid w:val="00461548"/>
    <w:rsid w:val="00461AFA"/>
    <w:rsid w:val="0046223D"/>
    <w:rsid w:val="004631AD"/>
    <w:rsid w:val="00463A85"/>
    <w:rsid w:val="00463C54"/>
    <w:rsid w:val="00463CB3"/>
    <w:rsid w:val="00465291"/>
    <w:rsid w:val="004667ED"/>
    <w:rsid w:val="00466B66"/>
    <w:rsid w:val="00467455"/>
    <w:rsid w:val="0046759D"/>
    <w:rsid w:val="00470615"/>
    <w:rsid w:val="0047160F"/>
    <w:rsid w:val="00472EA4"/>
    <w:rsid w:val="004737C6"/>
    <w:rsid w:val="0047579D"/>
    <w:rsid w:val="004779C0"/>
    <w:rsid w:val="00480D33"/>
    <w:rsid w:val="00482A62"/>
    <w:rsid w:val="00482F51"/>
    <w:rsid w:val="00483749"/>
    <w:rsid w:val="004861EB"/>
    <w:rsid w:val="00486CC4"/>
    <w:rsid w:val="00487432"/>
    <w:rsid w:val="00487E3F"/>
    <w:rsid w:val="00490362"/>
    <w:rsid w:val="004905A4"/>
    <w:rsid w:val="00491550"/>
    <w:rsid w:val="00492645"/>
    <w:rsid w:val="00492B6F"/>
    <w:rsid w:val="00492FEE"/>
    <w:rsid w:val="00493A9F"/>
    <w:rsid w:val="00493C76"/>
    <w:rsid w:val="00493CC8"/>
    <w:rsid w:val="00493E2A"/>
    <w:rsid w:val="004940F2"/>
    <w:rsid w:val="00494ED1"/>
    <w:rsid w:val="0049636B"/>
    <w:rsid w:val="004963FE"/>
    <w:rsid w:val="00496A79"/>
    <w:rsid w:val="00497446"/>
    <w:rsid w:val="00497518"/>
    <w:rsid w:val="004A0641"/>
    <w:rsid w:val="004A0905"/>
    <w:rsid w:val="004A1BC9"/>
    <w:rsid w:val="004A2DBB"/>
    <w:rsid w:val="004A32F5"/>
    <w:rsid w:val="004A351D"/>
    <w:rsid w:val="004A3B90"/>
    <w:rsid w:val="004A5AC9"/>
    <w:rsid w:val="004A65D2"/>
    <w:rsid w:val="004A6B69"/>
    <w:rsid w:val="004A6BC6"/>
    <w:rsid w:val="004B12AC"/>
    <w:rsid w:val="004B1596"/>
    <w:rsid w:val="004B19DB"/>
    <w:rsid w:val="004B225E"/>
    <w:rsid w:val="004B22CD"/>
    <w:rsid w:val="004B24EE"/>
    <w:rsid w:val="004B5421"/>
    <w:rsid w:val="004B5DC7"/>
    <w:rsid w:val="004B681E"/>
    <w:rsid w:val="004B6B2D"/>
    <w:rsid w:val="004B7152"/>
    <w:rsid w:val="004B71D0"/>
    <w:rsid w:val="004B7DB7"/>
    <w:rsid w:val="004C0352"/>
    <w:rsid w:val="004C1053"/>
    <w:rsid w:val="004C16E6"/>
    <w:rsid w:val="004C1912"/>
    <w:rsid w:val="004C198C"/>
    <w:rsid w:val="004C1C68"/>
    <w:rsid w:val="004C1D7B"/>
    <w:rsid w:val="004C236A"/>
    <w:rsid w:val="004C23FC"/>
    <w:rsid w:val="004C2BBB"/>
    <w:rsid w:val="004C3180"/>
    <w:rsid w:val="004C3B94"/>
    <w:rsid w:val="004C400E"/>
    <w:rsid w:val="004C4CAA"/>
    <w:rsid w:val="004C5AAC"/>
    <w:rsid w:val="004C6FC4"/>
    <w:rsid w:val="004C7E3E"/>
    <w:rsid w:val="004D039B"/>
    <w:rsid w:val="004D073E"/>
    <w:rsid w:val="004D137C"/>
    <w:rsid w:val="004D14C9"/>
    <w:rsid w:val="004D14FC"/>
    <w:rsid w:val="004D1661"/>
    <w:rsid w:val="004D1A76"/>
    <w:rsid w:val="004D1A99"/>
    <w:rsid w:val="004D1AD4"/>
    <w:rsid w:val="004D316B"/>
    <w:rsid w:val="004D3365"/>
    <w:rsid w:val="004D3DEA"/>
    <w:rsid w:val="004D4498"/>
    <w:rsid w:val="004D4627"/>
    <w:rsid w:val="004D4FFA"/>
    <w:rsid w:val="004D5CAE"/>
    <w:rsid w:val="004D65F3"/>
    <w:rsid w:val="004D6D69"/>
    <w:rsid w:val="004E2E5C"/>
    <w:rsid w:val="004E3017"/>
    <w:rsid w:val="004E4260"/>
    <w:rsid w:val="004E65BC"/>
    <w:rsid w:val="004E6B04"/>
    <w:rsid w:val="004E7689"/>
    <w:rsid w:val="004F0438"/>
    <w:rsid w:val="004F1528"/>
    <w:rsid w:val="004F16A2"/>
    <w:rsid w:val="004F1738"/>
    <w:rsid w:val="004F19EB"/>
    <w:rsid w:val="004F3536"/>
    <w:rsid w:val="004F48F4"/>
    <w:rsid w:val="004F5148"/>
    <w:rsid w:val="004F7231"/>
    <w:rsid w:val="005002DD"/>
    <w:rsid w:val="005018BC"/>
    <w:rsid w:val="005023C2"/>
    <w:rsid w:val="00502AE0"/>
    <w:rsid w:val="00503740"/>
    <w:rsid w:val="00503DFE"/>
    <w:rsid w:val="0050459E"/>
    <w:rsid w:val="00504699"/>
    <w:rsid w:val="005049E2"/>
    <w:rsid w:val="00504E9E"/>
    <w:rsid w:val="0050542C"/>
    <w:rsid w:val="0050566A"/>
    <w:rsid w:val="005068B1"/>
    <w:rsid w:val="005106F6"/>
    <w:rsid w:val="00510EB1"/>
    <w:rsid w:val="005119E4"/>
    <w:rsid w:val="00511F44"/>
    <w:rsid w:val="0051236E"/>
    <w:rsid w:val="00512A28"/>
    <w:rsid w:val="00514700"/>
    <w:rsid w:val="00516E57"/>
    <w:rsid w:val="00520E36"/>
    <w:rsid w:val="00523916"/>
    <w:rsid w:val="005266CA"/>
    <w:rsid w:val="005305C9"/>
    <w:rsid w:val="00531C5C"/>
    <w:rsid w:val="00532018"/>
    <w:rsid w:val="00532FEC"/>
    <w:rsid w:val="00534485"/>
    <w:rsid w:val="00534497"/>
    <w:rsid w:val="0053595B"/>
    <w:rsid w:val="00535F45"/>
    <w:rsid w:val="00535FFC"/>
    <w:rsid w:val="00536044"/>
    <w:rsid w:val="005366A9"/>
    <w:rsid w:val="005375E3"/>
    <w:rsid w:val="00537865"/>
    <w:rsid w:val="00540290"/>
    <w:rsid w:val="00540E39"/>
    <w:rsid w:val="00540EFB"/>
    <w:rsid w:val="00542501"/>
    <w:rsid w:val="00542D37"/>
    <w:rsid w:val="005430A9"/>
    <w:rsid w:val="0054399B"/>
    <w:rsid w:val="005452D5"/>
    <w:rsid w:val="00545C0E"/>
    <w:rsid w:val="00546875"/>
    <w:rsid w:val="00546CBD"/>
    <w:rsid w:val="00547C38"/>
    <w:rsid w:val="00550749"/>
    <w:rsid w:val="00550DB6"/>
    <w:rsid w:val="005527BF"/>
    <w:rsid w:val="00552BDE"/>
    <w:rsid w:val="00552BE7"/>
    <w:rsid w:val="00552D54"/>
    <w:rsid w:val="0055378E"/>
    <w:rsid w:val="00554796"/>
    <w:rsid w:val="00554E38"/>
    <w:rsid w:val="00555B2C"/>
    <w:rsid w:val="00557196"/>
    <w:rsid w:val="00560736"/>
    <w:rsid w:val="005608A9"/>
    <w:rsid w:val="00563113"/>
    <w:rsid w:val="005642C2"/>
    <w:rsid w:val="00564563"/>
    <w:rsid w:val="0056499E"/>
    <w:rsid w:val="00565F55"/>
    <w:rsid w:val="00566610"/>
    <w:rsid w:val="0056716B"/>
    <w:rsid w:val="00567628"/>
    <w:rsid w:val="00570121"/>
    <w:rsid w:val="0057014F"/>
    <w:rsid w:val="00570A5E"/>
    <w:rsid w:val="005715ED"/>
    <w:rsid w:val="00571DFB"/>
    <w:rsid w:val="00573624"/>
    <w:rsid w:val="005737E0"/>
    <w:rsid w:val="00574F92"/>
    <w:rsid w:val="00575BD0"/>
    <w:rsid w:val="005765AF"/>
    <w:rsid w:val="00576DC7"/>
    <w:rsid w:val="005772CE"/>
    <w:rsid w:val="005775F0"/>
    <w:rsid w:val="00580195"/>
    <w:rsid w:val="00580257"/>
    <w:rsid w:val="00580E75"/>
    <w:rsid w:val="00582234"/>
    <w:rsid w:val="005823BB"/>
    <w:rsid w:val="005823DA"/>
    <w:rsid w:val="00582425"/>
    <w:rsid w:val="00583012"/>
    <w:rsid w:val="00583F09"/>
    <w:rsid w:val="00583F1C"/>
    <w:rsid w:val="00584292"/>
    <w:rsid w:val="0058459E"/>
    <w:rsid w:val="0058543B"/>
    <w:rsid w:val="00585CAC"/>
    <w:rsid w:val="0058739E"/>
    <w:rsid w:val="005900C0"/>
    <w:rsid w:val="00590D8E"/>
    <w:rsid w:val="0059138B"/>
    <w:rsid w:val="005920CB"/>
    <w:rsid w:val="0059355C"/>
    <w:rsid w:val="00593A08"/>
    <w:rsid w:val="00593A88"/>
    <w:rsid w:val="00594D94"/>
    <w:rsid w:val="005950C2"/>
    <w:rsid w:val="005951C2"/>
    <w:rsid w:val="005969D6"/>
    <w:rsid w:val="00596E6F"/>
    <w:rsid w:val="005970B6"/>
    <w:rsid w:val="00597E55"/>
    <w:rsid w:val="005A0177"/>
    <w:rsid w:val="005A08EF"/>
    <w:rsid w:val="005A0A30"/>
    <w:rsid w:val="005A138A"/>
    <w:rsid w:val="005A1BBD"/>
    <w:rsid w:val="005A25E7"/>
    <w:rsid w:val="005A28F2"/>
    <w:rsid w:val="005A294C"/>
    <w:rsid w:val="005A3554"/>
    <w:rsid w:val="005A3CE5"/>
    <w:rsid w:val="005A45A0"/>
    <w:rsid w:val="005A4C70"/>
    <w:rsid w:val="005A583E"/>
    <w:rsid w:val="005A5F52"/>
    <w:rsid w:val="005A6C2B"/>
    <w:rsid w:val="005A6DA3"/>
    <w:rsid w:val="005B0068"/>
    <w:rsid w:val="005B00B7"/>
    <w:rsid w:val="005B0EFC"/>
    <w:rsid w:val="005B1727"/>
    <w:rsid w:val="005B1885"/>
    <w:rsid w:val="005B1C1C"/>
    <w:rsid w:val="005B434D"/>
    <w:rsid w:val="005B4956"/>
    <w:rsid w:val="005B511F"/>
    <w:rsid w:val="005B5D36"/>
    <w:rsid w:val="005B69C3"/>
    <w:rsid w:val="005B6A93"/>
    <w:rsid w:val="005B77E5"/>
    <w:rsid w:val="005B7B4F"/>
    <w:rsid w:val="005B7E77"/>
    <w:rsid w:val="005C1147"/>
    <w:rsid w:val="005C13F7"/>
    <w:rsid w:val="005C229E"/>
    <w:rsid w:val="005C2D78"/>
    <w:rsid w:val="005C3211"/>
    <w:rsid w:val="005C40C6"/>
    <w:rsid w:val="005C4C06"/>
    <w:rsid w:val="005C6664"/>
    <w:rsid w:val="005D08F2"/>
    <w:rsid w:val="005D26A9"/>
    <w:rsid w:val="005D28C4"/>
    <w:rsid w:val="005D2A6F"/>
    <w:rsid w:val="005D3D9F"/>
    <w:rsid w:val="005D5A3A"/>
    <w:rsid w:val="005D5AA5"/>
    <w:rsid w:val="005D5ECC"/>
    <w:rsid w:val="005D667A"/>
    <w:rsid w:val="005D7D8E"/>
    <w:rsid w:val="005E01C1"/>
    <w:rsid w:val="005E0BB9"/>
    <w:rsid w:val="005E1583"/>
    <w:rsid w:val="005E3EA3"/>
    <w:rsid w:val="005E500E"/>
    <w:rsid w:val="005E7AD8"/>
    <w:rsid w:val="005F1F24"/>
    <w:rsid w:val="005F306E"/>
    <w:rsid w:val="005F3A0F"/>
    <w:rsid w:val="005F4485"/>
    <w:rsid w:val="005F57FA"/>
    <w:rsid w:val="005F736B"/>
    <w:rsid w:val="00600084"/>
    <w:rsid w:val="006000BC"/>
    <w:rsid w:val="006001F5"/>
    <w:rsid w:val="00600DFE"/>
    <w:rsid w:val="00600F4D"/>
    <w:rsid w:val="00601CDC"/>
    <w:rsid w:val="00603120"/>
    <w:rsid w:val="0060533A"/>
    <w:rsid w:val="00605CF5"/>
    <w:rsid w:val="006069C1"/>
    <w:rsid w:val="0061062C"/>
    <w:rsid w:val="006110DF"/>
    <w:rsid w:val="00611803"/>
    <w:rsid w:val="0061191D"/>
    <w:rsid w:val="006125C9"/>
    <w:rsid w:val="00612B1C"/>
    <w:rsid w:val="00613EDB"/>
    <w:rsid w:val="00614ACE"/>
    <w:rsid w:val="00615182"/>
    <w:rsid w:val="0061532A"/>
    <w:rsid w:val="00615CD5"/>
    <w:rsid w:val="006166BA"/>
    <w:rsid w:val="006169EC"/>
    <w:rsid w:val="0062041F"/>
    <w:rsid w:val="00621243"/>
    <w:rsid w:val="00621F66"/>
    <w:rsid w:val="00622001"/>
    <w:rsid w:val="00622CD8"/>
    <w:rsid w:val="0062345B"/>
    <w:rsid w:val="00623937"/>
    <w:rsid w:val="00623BFE"/>
    <w:rsid w:val="00624AB3"/>
    <w:rsid w:val="006255CF"/>
    <w:rsid w:val="006255FC"/>
    <w:rsid w:val="00625EA2"/>
    <w:rsid w:val="0062700A"/>
    <w:rsid w:val="00627A07"/>
    <w:rsid w:val="00627D7D"/>
    <w:rsid w:val="0063035F"/>
    <w:rsid w:val="00630AE5"/>
    <w:rsid w:val="00630B10"/>
    <w:rsid w:val="0063158A"/>
    <w:rsid w:val="006321FB"/>
    <w:rsid w:val="00632453"/>
    <w:rsid w:val="00633977"/>
    <w:rsid w:val="00633B9F"/>
    <w:rsid w:val="00633BF4"/>
    <w:rsid w:val="00634A00"/>
    <w:rsid w:val="00635585"/>
    <w:rsid w:val="00637764"/>
    <w:rsid w:val="00637867"/>
    <w:rsid w:val="00637E42"/>
    <w:rsid w:val="006401A9"/>
    <w:rsid w:val="006402E5"/>
    <w:rsid w:val="006406A2"/>
    <w:rsid w:val="00641F40"/>
    <w:rsid w:val="00642A27"/>
    <w:rsid w:val="00642B7F"/>
    <w:rsid w:val="006431E1"/>
    <w:rsid w:val="00643FBA"/>
    <w:rsid w:val="00644D7A"/>
    <w:rsid w:val="00645888"/>
    <w:rsid w:val="00650E5B"/>
    <w:rsid w:val="006511F6"/>
    <w:rsid w:val="006512E0"/>
    <w:rsid w:val="006514E5"/>
    <w:rsid w:val="00651BEA"/>
    <w:rsid w:val="00651D76"/>
    <w:rsid w:val="00652104"/>
    <w:rsid w:val="00652335"/>
    <w:rsid w:val="00652ED8"/>
    <w:rsid w:val="00655525"/>
    <w:rsid w:val="006569CD"/>
    <w:rsid w:val="00656A64"/>
    <w:rsid w:val="00656BA5"/>
    <w:rsid w:val="00656E75"/>
    <w:rsid w:val="006572E6"/>
    <w:rsid w:val="0066099C"/>
    <w:rsid w:val="00661311"/>
    <w:rsid w:val="00663200"/>
    <w:rsid w:val="00663BC5"/>
    <w:rsid w:val="006647C4"/>
    <w:rsid w:val="00664904"/>
    <w:rsid w:val="00665BC1"/>
    <w:rsid w:val="00666D96"/>
    <w:rsid w:val="0066782F"/>
    <w:rsid w:val="006678E8"/>
    <w:rsid w:val="0067031A"/>
    <w:rsid w:val="00670895"/>
    <w:rsid w:val="0067151D"/>
    <w:rsid w:val="0067165D"/>
    <w:rsid w:val="00674055"/>
    <w:rsid w:val="006742E6"/>
    <w:rsid w:val="006743C8"/>
    <w:rsid w:val="00676E54"/>
    <w:rsid w:val="0067706D"/>
    <w:rsid w:val="006772EA"/>
    <w:rsid w:val="006774A7"/>
    <w:rsid w:val="006803B3"/>
    <w:rsid w:val="00680935"/>
    <w:rsid w:val="00680F01"/>
    <w:rsid w:val="006810E3"/>
    <w:rsid w:val="006813CC"/>
    <w:rsid w:val="00681A1C"/>
    <w:rsid w:val="00681E86"/>
    <w:rsid w:val="0068396F"/>
    <w:rsid w:val="00684F80"/>
    <w:rsid w:val="006862EE"/>
    <w:rsid w:val="00686940"/>
    <w:rsid w:val="00686AE2"/>
    <w:rsid w:val="00691246"/>
    <w:rsid w:val="006914E3"/>
    <w:rsid w:val="00693E5A"/>
    <w:rsid w:val="00693F0C"/>
    <w:rsid w:val="00694517"/>
    <w:rsid w:val="00695A23"/>
    <w:rsid w:val="00695DB7"/>
    <w:rsid w:val="00697BD1"/>
    <w:rsid w:val="006A055D"/>
    <w:rsid w:val="006A07A8"/>
    <w:rsid w:val="006A082D"/>
    <w:rsid w:val="006A0B7B"/>
    <w:rsid w:val="006A0C2D"/>
    <w:rsid w:val="006A451F"/>
    <w:rsid w:val="006A4A25"/>
    <w:rsid w:val="006A54B3"/>
    <w:rsid w:val="006B00A7"/>
    <w:rsid w:val="006B04D8"/>
    <w:rsid w:val="006B08B6"/>
    <w:rsid w:val="006B1043"/>
    <w:rsid w:val="006B12A7"/>
    <w:rsid w:val="006B1F7F"/>
    <w:rsid w:val="006B3403"/>
    <w:rsid w:val="006B3E50"/>
    <w:rsid w:val="006B4358"/>
    <w:rsid w:val="006B501D"/>
    <w:rsid w:val="006B69CB"/>
    <w:rsid w:val="006B73E2"/>
    <w:rsid w:val="006B7C17"/>
    <w:rsid w:val="006C1337"/>
    <w:rsid w:val="006C1D88"/>
    <w:rsid w:val="006C1E99"/>
    <w:rsid w:val="006C2578"/>
    <w:rsid w:val="006C25F8"/>
    <w:rsid w:val="006C299F"/>
    <w:rsid w:val="006C2D3F"/>
    <w:rsid w:val="006C3327"/>
    <w:rsid w:val="006C39DF"/>
    <w:rsid w:val="006C3ABF"/>
    <w:rsid w:val="006C6184"/>
    <w:rsid w:val="006C6E98"/>
    <w:rsid w:val="006D1B69"/>
    <w:rsid w:val="006D3844"/>
    <w:rsid w:val="006D3D41"/>
    <w:rsid w:val="006D44D5"/>
    <w:rsid w:val="006D5908"/>
    <w:rsid w:val="006D6DFB"/>
    <w:rsid w:val="006D7491"/>
    <w:rsid w:val="006E1DA9"/>
    <w:rsid w:val="006E220A"/>
    <w:rsid w:val="006E255A"/>
    <w:rsid w:val="006E2BFE"/>
    <w:rsid w:val="006E343A"/>
    <w:rsid w:val="006E35AD"/>
    <w:rsid w:val="006E36B6"/>
    <w:rsid w:val="006E3C5C"/>
    <w:rsid w:val="006E4145"/>
    <w:rsid w:val="006E41B6"/>
    <w:rsid w:val="006F2944"/>
    <w:rsid w:val="006F2CC9"/>
    <w:rsid w:val="006F408D"/>
    <w:rsid w:val="006F6259"/>
    <w:rsid w:val="006F6B20"/>
    <w:rsid w:val="006F7223"/>
    <w:rsid w:val="007000A3"/>
    <w:rsid w:val="0070031A"/>
    <w:rsid w:val="00700EB7"/>
    <w:rsid w:val="00701141"/>
    <w:rsid w:val="00701235"/>
    <w:rsid w:val="0070159E"/>
    <w:rsid w:val="00701EB6"/>
    <w:rsid w:val="00703C78"/>
    <w:rsid w:val="0070480C"/>
    <w:rsid w:val="007063EA"/>
    <w:rsid w:val="0070677D"/>
    <w:rsid w:val="007069AE"/>
    <w:rsid w:val="00707974"/>
    <w:rsid w:val="00707FA4"/>
    <w:rsid w:val="00710510"/>
    <w:rsid w:val="00710EFE"/>
    <w:rsid w:val="00710F2B"/>
    <w:rsid w:val="00710FB8"/>
    <w:rsid w:val="007118A0"/>
    <w:rsid w:val="00711FFA"/>
    <w:rsid w:val="00712DD5"/>
    <w:rsid w:val="00713E7F"/>
    <w:rsid w:val="00714545"/>
    <w:rsid w:val="00715DA4"/>
    <w:rsid w:val="00715EE4"/>
    <w:rsid w:val="00720321"/>
    <w:rsid w:val="00720F11"/>
    <w:rsid w:val="0072136A"/>
    <w:rsid w:val="007220DC"/>
    <w:rsid w:val="007258B6"/>
    <w:rsid w:val="00726158"/>
    <w:rsid w:val="00726745"/>
    <w:rsid w:val="007269D6"/>
    <w:rsid w:val="00726B71"/>
    <w:rsid w:val="00727403"/>
    <w:rsid w:val="00730F7B"/>
    <w:rsid w:val="00731003"/>
    <w:rsid w:val="00732165"/>
    <w:rsid w:val="007324D7"/>
    <w:rsid w:val="00732CC2"/>
    <w:rsid w:val="007337C7"/>
    <w:rsid w:val="00733E01"/>
    <w:rsid w:val="007356D6"/>
    <w:rsid w:val="00735E36"/>
    <w:rsid w:val="0073665C"/>
    <w:rsid w:val="00740275"/>
    <w:rsid w:val="00740EC5"/>
    <w:rsid w:val="00741EE5"/>
    <w:rsid w:val="00742B88"/>
    <w:rsid w:val="00742C2C"/>
    <w:rsid w:val="00743544"/>
    <w:rsid w:val="00743662"/>
    <w:rsid w:val="007443EB"/>
    <w:rsid w:val="007448A3"/>
    <w:rsid w:val="007464A2"/>
    <w:rsid w:val="007466B9"/>
    <w:rsid w:val="0074784E"/>
    <w:rsid w:val="007478E8"/>
    <w:rsid w:val="00750011"/>
    <w:rsid w:val="0075099F"/>
    <w:rsid w:val="0075273B"/>
    <w:rsid w:val="00752D16"/>
    <w:rsid w:val="00753407"/>
    <w:rsid w:val="00753A21"/>
    <w:rsid w:val="00753F7F"/>
    <w:rsid w:val="00754894"/>
    <w:rsid w:val="0075505B"/>
    <w:rsid w:val="00755255"/>
    <w:rsid w:val="00755862"/>
    <w:rsid w:val="00755E53"/>
    <w:rsid w:val="00756204"/>
    <w:rsid w:val="00756D6D"/>
    <w:rsid w:val="00756F83"/>
    <w:rsid w:val="007575AF"/>
    <w:rsid w:val="00760E50"/>
    <w:rsid w:val="00763887"/>
    <w:rsid w:val="0076483B"/>
    <w:rsid w:val="00764BBE"/>
    <w:rsid w:val="00765375"/>
    <w:rsid w:val="007666F3"/>
    <w:rsid w:val="007668AE"/>
    <w:rsid w:val="00767C50"/>
    <w:rsid w:val="00770089"/>
    <w:rsid w:val="00770286"/>
    <w:rsid w:val="0077076A"/>
    <w:rsid w:val="00772E3E"/>
    <w:rsid w:val="00773A89"/>
    <w:rsid w:val="0077424F"/>
    <w:rsid w:val="00774DD8"/>
    <w:rsid w:val="00774E80"/>
    <w:rsid w:val="007753D9"/>
    <w:rsid w:val="0077589D"/>
    <w:rsid w:val="00777CB2"/>
    <w:rsid w:val="00781475"/>
    <w:rsid w:val="00781927"/>
    <w:rsid w:val="00783A00"/>
    <w:rsid w:val="00784FD5"/>
    <w:rsid w:val="0079098B"/>
    <w:rsid w:val="00790CA0"/>
    <w:rsid w:val="00790D12"/>
    <w:rsid w:val="00791744"/>
    <w:rsid w:val="00791A1B"/>
    <w:rsid w:val="00791D1D"/>
    <w:rsid w:val="0079260B"/>
    <w:rsid w:val="00792F16"/>
    <w:rsid w:val="00792F6A"/>
    <w:rsid w:val="00793925"/>
    <w:rsid w:val="00794376"/>
    <w:rsid w:val="00794FCD"/>
    <w:rsid w:val="00795BB9"/>
    <w:rsid w:val="0079622C"/>
    <w:rsid w:val="007965ED"/>
    <w:rsid w:val="007966C2"/>
    <w:rsid w:val="00796DC7"/>
    <w:rsid w:val="00797010"/>
    <w:rsid w:val="00797ACF"/>
    <w:rsid w:val="007A0017"/>
    <w:rsid w:val="007A08DD"/>
    <w:rsid w:val="007A17A9"/>
    <w:rsid w:val="007A1A0A"/>
    <w:rsid w:val="007A1EE3"/>
    <w:rsid w:val="007A2200"/>
    <w:rsid w:val="007A5316"/>
    <w:rsid w:val="007A56BB"/>
    <w:rsid w:val="007A6275"/>
    <w:rsid w:val="007A6B28"/>
    <w:rsid w:val="007A6BA9"/>
    <w:rsid w:val="007A70DE"/>
    <w:rsid w:val="007A7908"/>
    <w:rsid w:val="007B082F"/>
    <w:rsid w:val="007B126E"/>
    <w:rsid w:val="007B1D07"/>
    <w:rsid w:val="007B1F75"/>
    <w:rsid w:val="007B2138"/>
    <w:rsid w:val="007B2794"/>
    <w:rsid w:val="007B2AC4"/>
    <w:rsid w:val="007B32F7"/>
    <w:rsid w:val="007B370E"/>
    <w:rsid w:val="007B5901"/>
    <w:rsid w:val="007B5B5E"/>
    <w:rsid w:val="007B5BEB"/>
    <w:rsid w:val="007B6A21"/>
    <w:rsid w:val="007C02D2"/>
    <w:rsid w:val="007C041A"/>
    <w:rsid w:val="007C0DBE"/>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722"/>
    <w:rsid w:val="007D5B61"/>
    <w:rsid w:val="007D5EA5"/>
    <w:rsid w:val="007D5EC0"/>
    <w:rsid w:val="007D7283"/>
    <w:rsid w:val="007E0291"/>
    <w:rsid w:val="007E08D5"/>
    <w:rsid w:val="007E09D2"/>
    <w:rsid w:val="007E12E9"/>
    <w:rsid w:val="007E1AF1"/>
    <w:rsid w:val="007E4F92"/>
    <w:rsid w:val="007E52DB"/>
    <w:rsid w:val="007E74F2"/>
    <w:rsid w:val="007F071C"/>
    <w:rsid w:val="007F07CD"/>
    <w:rsid w:val="007F0947"/>
    <w:rsid w:val="007F0C5C"/>
    <w:rsid w:val="007F1460"/>
    <w:rsid w:val="007F16D2"/>
    <w:rsid w:val="007F22A1"/>
    <w:rsid w:val="007F2837"/>
    <w:rsid w:val="007F350D"/>
    <w:rsid w:val="007F39D2"/>
    <w:rsid w:val="007F3D33"/>
    <w:rsid w:val="007F4060"/>
    <w:rsid w:val="007F46BF"/>
    <w:rsid w:val="007F5A8C"/>
    <w:rsid w:val="007F6AEB"/>
    <w:rsid w:val="007F7222"/>
    <w:rsid w:val="00800B09"/>
    <w:rsid w:val="00801296"/>
    <w:rsid w:val="00801F60"/>
    <w:rsid w:val="008041DB"/>
    <w:rsid w:val="00805136"/>
    <w:rsid w:val="0080549B"/>
    <w:rsid w:val="008101E8"/>
    <w:rsid w:val="00811B23"/>
    <w:rsid w:val="00812371"/>
    <w:rsid w:val="00814A0D"/>
    <w:rsid w:val="00815641"/>
    <w:rsid w:val="008158CF"/>
    <w:rsid w:val="00815B78"/>
    <w:rsid w:val="00815EF6"/>
    <w:rsid w:val="0081608D"/>
    <w:rsid w:val="00817E7D"/>
    <w:rsid w:val="00820258"/>
    <w:rsid w:val="00820892"/>
    <w:rsid w:val="008215DC"/>
    <w:rsid w:val="008216CB"/>
    <w:rsid w:val="008229D3"/>
    <w:rsid w:val="00822A03"/>
    <w:rsid w:val="008233EB"/>
    <w:rsid w:val="008237FE"/>
    <w:rsid w:val="00823910"/>
    <w:rsid w:val="0082429B"/>
    <w:rsid w:val="00825C13"/>
    <w:rsid w:val="008265A8"/>
    <w:rsid w:val="00826A5D"/>
    <w:rsid w:val="008305C6"/>
    <w:rsid w:val="00831CB4"/>
    <w:rsid w:val="00832CE5"/>
    <w:rsid w:val="00833C7A"/>
    <w:rsid w:val="00837EA6"/>
    <w:rsid w:val="00840248"/>
    <w:rsid w:val="00841FF0"/>
    <w:rsid w:val="00842280"/>
    <w:rsid w:val="00842449"/>
    <w:rsid w:val="00843E9E"/>
    <w:rsid w:val="00844B3D"/>
    <w:rsid w:val="00845885"/>
    <w:rsid w:val="00845C9F"/>
    <w:rsid w:val="0084608F"/>
    <w:rsid w:val="00847C11"/>
    <w:rsid w:val="00847FBF"/>
    <w:rsid w:val="008500CD"/>
    <w:rsid w:val="00850ABB"/>
    <w:rsid w:val="0085183E"/>
    <w:rsid w:val="00853644"/>
    <w:rsid w:val="0085402B"/>
    <w:rsid w:val="00854691"/>
    <w:rsid w:val="008549C5"/>
    <w:rsid w:val="00854AE3"/>
    <w:rsid w:val="00854F98"/>
    <w:rsid w:val="00857810"/>
    <w:rsid w:val="00860381"/>
    <w:rsid w:val="008603B6"/>
    <w:rsid w:val="00862406"/>
    <w:rsid w:val="0086321B"/>
    <w:rsid w:val="0086321F"/>
    <w:rsid w:val="00863BDE"/>
    <w:rsid w:val="00863DEC"/>
    <w:rsid w:val="00864040"/>
    <w:rsid w:val="008654A1"/>
    <w:rsid w:val="00866E9A"/>
    <w:rsid w:val="00867B74"/>
    <w:rsid w:val="00867C0A"/>
    <w:rsid w:val="00867D39"/>
    <w:rsid w:val="008709EF"/>
    <w:rsid w:val="00871203"/>
    <w:rsid w:val="00871BB6"/>
    <w:rsid w:val="00874626"/>
    <w:rsid w:val="008750C9"/>
    <w:rsid w:val="008752C6"/>
    <w:rsid w:val="00876332"/>
    <w:rsid w:val="00877388"/>
    <w:rsid w:val="00877523"/>
    <w:rsid w:val="00880A95"/>
    <w:rsid w:val="0088173B"/>
    <w:rsid w:val="00881F5C"/>
    <w:rsid w:val="00884378"/>
    <w:rsid w:val="00884C4B"/>
    <w:rsid w:val="00885952"/>
    <w:rsid w:val="00886707"/>
    <w:rsid w:val="0088687A"/>
    <w:rsid w:val="00886A05"/>
    <w:rsid w:val="00887C5B"/>
    <w:rsid w:val="008930B2"/>
    <w:rsid w:val="008934BF"/>
    <w:rsid w:val="008968DF"/>
    <w:rsid w:val="008A0F05"/>
    <w:rsid w:val="008A2841"/>
    <w:rsid w:val="008A30AC"/>
    <w:rsid w:val="008A4B7B"/>
    <w:rsid w:val="008A521C"/>
    <w:rsid w:val="008A6687"/>
    <w:rsid w:val="008B02F4"/>
    <w:rsid w:val="008B0446"/>
    <w:rsid w:val="008B1651"/>
    <w:rsid w:val="008B2EB3"/>
    <w:rsid w:val="008B3021"/>
    <w:rsid w:val="008B36B9"/>
    <w:rsid w:val="008B6A14"/>
    <w:rsid w:val="008B7655"/>
    <w:rsid w:val="008C0E42"/>
    <w:rsid w:val="008C1305"/>
    <w:rsid w:val="008C14A1"/>
    <w:rsid w:val="008C2102"/>
    <w:rsid w:val="008C2225"/>
    <w:rsid w:val="008C262C"/>
    <w:rsid w:val="008C32D7"/>
    <w:rsid w:val="008C368F"/>
    <w:rsid w:val="008C38F3"/>
    <w:rsid w:val="008C4CA2"/>
    <w:rsid w:val="008C50B6"/>
    <w:rsid w:val="008C7221"/>
    <w:rsid w:val="008D0C6C"/>
    <w:rsid w:val="008D1E4C"/>
    <w:rsid w:val="008D2B6F"/>
    <w:rsid w:val="008D3D48"/>
    <w:rsid w:val="008D7AEA"/>
    <w:rsid w:val="008E0615"/>
    <w:rsid w:val="008E0792"/>
    <w:rsid w:val="008E0D1B"/>
    <w:rsid w:val="008E0DE7"/>
    <w:rsid w:val="008E185B"/>
    <w:rsid w:val="008E1CA5"/>
    <w:rsid w:val="008E2D91"/>
    <w:rsid w:val="008E37EF"/>
    <w:rsid w:val="008E432F"/>
    <w:rsid w:val="008E45E0"/>
    <w:rsid w:val="008E4A84"/>
    <w:rsid w:val="008E4E5E"/>
    <w:rsid w:val="008E6B74"/>
    <w:rsid w:val="008E6D74"/>
    <w:rsid w:val="008E740D"/>
    <w:rsid w:val="008F0FD2"/>
    <w:rsid w:val="008F1567"/>
    <w:rsid w:val="008F2922"/>
    <w:rsid w:val="008F45E0"/>
    <w:rsid w:val="008F5077"/>
    <w:rsid w:val="008F53A7"/>
    <w:rsid w:val="008F5E28"/>
    <w:rsid w:val="008F6728"/>
    <w:rsid w:val="008F6E09"/>
    <w:rsid w:val="008F7CC0"/>
    <w:rsid w:val="008F7F1A"/>
    <w:rsid w:val="00900263"/>
    <w:rsid w:val="00900369"/>
    <w:rsid w:val="00900F4D"/>
    <w:rsid w:val="009023B7"/>
    <w:rsid w:val="00902BFC"/>
    <w:rsid w:val="0090317B"/>
    <w:rsid w:val="00903EF3"/>
    <w:rsid w:val="0090472F"/>
    <w:rsid w:val="00905969"/>
    <w:rsid w:val="00905AFD"/>
    <w:rsid w:val="00906ACE"/>
    <w:rsid w:val="009073D3"/>
    <w:rsid w:val="009104EE"/>
    <w:rsid w:val="0091062D"/>
    <w:rsid w:val="0091084A"/>
    <w:rsid w:val="00910E28"/>
    <w:rsid w:val="00911EE5"/>
    <w:rsid w:val="00912400"/>
    <w:rsid w:val="00913339"/>
    <w:rsid w:val="00913A7E"/>
    <w:rsid w:val="00914619"/>
    <w:rsid w:val="00914744"/>
    <w:rsid w:val="00914EDD"/>
    <w:rsid w:val="0091650D"/>
    <w:rsid w:val="00916944"/>
    <w:rsid w:val="00916A5D"/>
    <w:rsid w:val="00917B95"/>
    <w:rsid w:val="00917CA9"/>
    <w:rsid w:val="00922688"/>
    <w:rsid w:val="009232A2"/>
    <w:rsid w:val="00923FF2"/>
    <w:rsid w:val="00925A34"/>
    <w:rsid w:val="009268E1"/>
    <w:rsid w:val="009270F5"/>
    <w:rsid w:val="0093091B"/>
    <w:rsid w:val="00930937"/>
    <w:rsid w:val="00930C6F"/>
    <w:rsid w:val="00931376"/>
    <w:rsid w:val="009322BB"/>
    <w:rsid w:val="00932CA4"/>
    <w:rsid w:val="009330F2"/>
    <w:rsid w:val="009332A5"/>
    <w:rsid w:val="009337BD"/>
    <w:rsid w:val="00934BBE"/>
    <w:rsid w:val="0094033A"/>
    <w:rsid w:val="00941297"/>
    <w:rsid w:val="00941904"/>
    <w:rsid w:val="00941BB6"/>
    <w:rsid w:val="00941D10"/>
    <w:rsid w:val="009420BC"/>
    <w:rsid w:val="0094286A"/>
    <w:rsid w:val="00942C0C"/>
    <w:rsid w:val="009430CC"/>
    <w:rsid w:val="00944C18"/>
    <w:rsid w:val="00944C69"/>
    <w:rsid w:val="00944C6C"/>
    <w:rsid w:val="00945E09"/>
    <w:rsid w:val="00947E55"/>
    <w:rsid w:val="00950877"/>
    <w:rsid w:val="009515FF"/>
    <w:rsid w:val="00951A8D"/>
    <w:rsid w:val="00951B3E"/>
    <w:rsid w:val="00951CB7"/>
    <w:rsid w:val="00951E95"/>
    <w:rsid w:val="00952457"/>
    <w:rsid w:val="00952DE0"/>
    <w:rsid w:val="00953200"/>
    <w:rsid w:val="00953E8B"/>
    <w:rsid w:val="00954C9C"/>
    <w:rsid w:val="00955E2D"/>
    <w:rsid w:val="00956751"/>
    <w:rsid w:val="00956A20"/>
    <w:rsid w:val="0095771A"/>
    <w:rsid w:val="009607E5"/>
    <w:rsid w:val="009613C1"/>
    <w:rsid w:val="0096152E"/>
    <w:rsid w:val="00961554"/>
    <w:rsid w:val="00961808"/>
    <w:rsid w:val="009620FC"/>
    <w:rsid w:val="009622DF"/>
    <w:rsid w:val="009623C1"/>
    <w:rsid w:val="00962A90"/>
    <w:rsid w:val="00964AA2"/>
    <w:rsid w:val="009663A4"/>
    <w:rsid w:val="009674EB"/>
    <w:rsid w:val="00970341"/>
    <w:rsid w:val="009711D5"/>
    <w:rsid w:val="009719CB"/>
    <w:rsid w:val="00971CC4"/>
    <w:rsid w:val="009729D6"/>
    <w:rsid w:val="009740BD"/>
    <w:rsid w:val="0097480B"/>
    <w:rsid w:val="009766B5"/>
    <w:rsid w:val="00977A5E"/>
    <w:rsid w:val="00977B35"/>
    <w:rsid w:val="0098049D"/>
    <w:rsid w:val="00982054"/>
    <w:rsid w:val="0098268A"/>
    <w:rsid w:val="0098288D"/>
    <w:rsid w:val="00982E61"/>
    <w:rsid w:val="0098361B"/>
    <w:rsid w:val="00984111"/>
    <w:rsid w:val="00984E1F"/>
    <w:rsid w:val="0098555A"/>
    <w:rsid w:val="00985734"/>
    <w:rsid w:val="009868C4"/>
    <w:rsid w:val="0098782D"/>
    <w:rsid w:val="00990B63"/>
    <w:rsid w:val="00991BF6"/>
    <w:rsid w:val="00994580"/>
    <w:rsid w:val="009963D0"/>
    <w:rsid w:val="0099670F"/>
    <w:rsid w:val="00996B11"/>
    <w:rsid w:val="009A0152"/>
    <w:rsid w:val="009A0AC1"/>
    <w:rsid w:val="009A0C95"/>
    <w:rsid w:val="009A288C"/>
    <w:rsid w:val="009A42D8"/>
    <w:rsid w:val="009A51F9"/>
    <w:rsid w:val="009A5908"/>
    <w:rsid w:val="009A6067"/>
    <w:rsid w:val="009A6271"/>
    <w:rsid w:val="009A72C3"/>
    <w:rsid w:val="009A797F"/>
    <w:rsid w:val="009B106C"/>
    <w:rsid w:val="009B2455"/>
    <w:rsid w:val="009B2FA8"/>
    <w:rsid w:val="009B308D"/>
    <w:rsid w:val="009B4C4F"/>
    <w:rsid w:val="009B576C"/>
    <w:rsid w:val="009B6614"/>
    <w:rsid w:val="009B6F1F"/>
    <w:rsid w:val="009B7EC5"/>
    <w:rsid w:val="009C05A7"/>
    <w:rsid w:val="009C0991"/>
    <w:rsid w:val="009C09D1"/>
    <w:rsid w:val="009C186D"/>
    <w:rsid w:val="009C1D8F"/>
    <w:rsid w:val="009C25B7"/>
    <w:rsid w:val="009C287D"/>
    <w:rsid w:val="009C2C30"/>
    <w:rsid w:val="009C3AE6"/>
    <w:rsid w:val="009C3E9C"/>
    <w:rsid w:val="009C4165"/>
    <w:rsid w:val="009C55F7"/>
    <w:rsid w:val="009C5AA9"/>
    <w:rsid w:val="009C620B"/>
    <w:rsid w:val="009C7E74"/>
    <w:rsid w:val="009D10CF"/>
    <w:rsid w:val="009D115B"/>
    <w:rsid w:val="009D255D"/>
    <w:rsid w:val="009D2C77"/>
    <w:rsid w:val="009D3D1B"/>
    <w:rsid w:val="009D4669"/>
    <w:rsid w:val="009D6D34"/>
    <w:rsid w:val="009D7261"/>
    <w:rsid w:val="009D74DE"/>
    <w:rsid w:val="009D77B8"/>
    <w:rsid w:val="009E08CE"/>
    <w:rsid w:val="009E0EC0"/>
    <w:rsid w:val="009E1405"/>
    <w:rsid w:val="009E1E3D"/>
    <w:rsid w:val="009E2069"/>
    <w:rsid w:val="009E220C"/>
    <w:rsid w:val="009E34BA"/>
    <w:rsid w:val="009E3573"/>
    <w:rsid w:val="009E3F87"/>
    <w:rsid w:val="009E6171"/>
    <w:rsid w:val="009E647F"/>
    <w:rsid w:val="009E6CB8"/>
    <w:rsid w:val="009E7D65"/>
    <w:rsid w:val="009F0B77"/>
    <w:rsid w:val="009F396A"/>
    <w:rsid w:val="009F4215"/>
    <w:rsid w:val="009F5BD8"/>
    <w:rsid w:val="009F6EC6"/>
    <w:rsid w:val="009F79F2"/>
    <w:rsid w:val="009F7ACA"/>
    <w:rsid w:val="00A0128C"/>
    <w:rsid w:val="00A01583"/>
    <w:rsid w:val="00A01BB5"/>
    <w:rsid w:val="00A01C23"/>
    <w:rsid w:val="00A02B78"/>
    <w:rsid w:val="00A043F9"/>
    <w:rsid w:val="00A0476E"/>
    <w:rsid w:val="00A0618F"/>
    <w:rsid w:val="00A062D3"/>
    <w:rsid w:val="00A0656C"/>
    <w:rsid w:val="00A06A4A"/>
    <w:rsid w:val="00A06A9E"/>
    <w:rsid w:val="00A07049"/>
    <w:rsid w:val="00A070F7"/>
    <w:rsid w:val="00A10CA1"/>
    <w:rsid w:val="00A11EA6"/>
    <w:rsid w:val="00A12015"/>
    <w:rsid w:val="00A125D0"/>
    <w:rsid w:val="00A13576"/>
    <w:rsid w:val="00A13DA3"/>
    <w:rsid w:val="00A15736"/>
    <w:rsid w:val="00A15783"/>
    <w:rsid w:val="00A165BE"/>
    <w:rsid w:val="00A169A6"/>
    <w:rsid w:val="00A169FF"/>
    <w:rsid w:val="00A17EF8"/>
    <w:rsid w:val="00A22443"/>
    <w:rsid w:val="00A2352B"/>
    <w:rsid w:val="00A24899"/>
    <w:rsid w:val="00A24E7D"/>
    <w:rsid w:val="00A26647"/>
    <w:rsid w:val="00A26ED9"/>
    <w:rsid w:val="00A27698"/>
    <w:rsid w:val="00A27F7B"/>
    <w:rsid w:val="00A304AC"/>
    <w:rsid w:val="00A32EA8"/>
    <w:rsid w:val="00A355A8"/>
    <w:rsid w:val="00A359C0"/>
    <w:rsid w:val="00A35BFE"/>
    <w:rsid w:val="00A3679E"/>
    <w:rsid w:val="00A37579"/>
    <w:rsid w:val="00A379A7"/>
    <w:rsid w:val="00A401F7"/>
    <w:rsid w:val="00A404B5"/>
    <w:rsid w:val="00A40880"/>
    <w:rsid w:val="00A40ECB"/>
    <w:rsid w:val="00A40F0D"/>
    <w:rsid w:val="00A41C07"/>
    <w:rsid w:val="00A42D43"/>
    <w:rsid w:val="00A42E4E"/>
    <w:rsid w:val="00A43072"/>
    <w:rsid w:val="00A431D4"/>
    <w:rsid w:val="00A435B6"/>
    <w:rsid w:val="00A44241"/>
    <w:rsid w:val="00A4570E"/>
    <w:rsid w:val="00A4592F"/>
    <w:rsid w:val="00A4649A"/>
    <w:rsid w:val="00A4658C"/>
    <w:rsid w:val="00A465F0"/>
    <w:rsid w:val="00A50B45"/>
    <w:rsid w:val="00A50EA9"/>
    <w:rsid w:val="00A513A2"/>
    <w:rsid w:val="00A52417"/>
    <w:rsid w:val="00A52B01"/>
    <w:rsid w:val="00A5377C"/>
    <w:rsid w:val="00A538EF"/>
    <w:rsid w:val="00A53E8D"/>
    <w:rsid w:val="00A53F48"/>
    <w:rsid w:val="00A546EA"/>
    <w:rsid w:val="00A5484C"/>
    <w:rsid w:val="00A555AC"/>
    <w:rsid w:val="00A561F8"/>
    <w:rsid w:val="00A564DE"/>
    <w:rsid w:val="00A56589"/>
    <w:rsid w:val="00A5689A"/>
    <w:rsid w:val="00A56C8E"/>
    <w:rsid w:val="00A5779D"/>
    <w:rsid w:val="00A57C8C"/>
    <w:rsid w:val="00A600BF"/>
    <w:rsid w:val="00A60CE6"/>
    <w:rsid w:val="00A64D3C"/>
    <w:rsid w:val="00A6508C"/>
    <w:rsid w:val="00A65496"/>
    <w:rsid w:val="00A654A7"/>
    <w:rsid w:val="00A657B3"/>
    <w:rsid w:val="00A66E4F"/>
    <w:rsid w:val="00A67191"/>
    <w:rsid w:val="00A67E91"/>
    <w:rsid w:val="00A70164"/>
    <w:rsid w:val="00A702FE"/>
    <w:rsid w:val="00A70603"/>
    <w:rsid w:val="00A70F02"/>
    <w:rsid w:val="00A71404"/>
    <w:rsid w:val="00A71BA3"/>
    <w:rsid w:val="00A725DD"/>
    <w:rsid w:val="00A7278E"/>
    <w:rsid w:val="00A73588"/>
    <w:rsid w:val="00A748AF"/>
    <w:rsid w:val="00A7496C"/>
    <w:rsid w:val="00A75CB8"/>
    <w:rsid w:val="00A75FF0"/>
    <w:rsid w:val="00A76CF8"/>
    <w:rsid w:val="00A77A45"/>
    <w:rsid w:val="00A82B07"/>
    <w:rsid w:val="00A8373C"/>
    <w:rsid w:val="00A837C1"/>
    <w:rsid w:val="00A83AF2"/>
    <w:rsid w:val="00A83C9F"/>
    <w:rsid w:val="00A851FD"/>
    <w:rsid w:val="00A856F7"/>
    <w:rsid w:val="00A87467"/>
    <w:rsid w:val="00A87A3F"/>
    <w:rsid w:val="00A87EC0"/>
    <w:rsid w:val="00A908C4"/>
    <w:rsid w:val="00A9122E"/>
    <w:rsid w:val="00A91773"/>
    <w:rsid w:val="00A92232"/>
    <w:rsid w:val="00A92250"/>
    <w:rsid w:val="00A93B48"/>
    <w:rsid w:val="00A93CEF"/>
    <w:rsid w:val="00A93FEC"/>
    <w:rsid w:val="00A9527D"/>
    <w:rsid w:val="00A95581"/>
    <w:rsid w:val="00A97248"/>
    <w:rsid w:val="00A97EB4"/>
    <w:rsid w:val="00A97EBE"/>
    <w:rsid w:val="00AA11EB"/>
    <w:rsid w:val="00AA178C"/>
    <w:rsid w:val="00AA17C7"/>
    <w:rsid w:val="00AA1D82"/>
    <w:rsid w:val="00AA2B0B"/>
    <w:rsid w:val="00AA2B7A"/>
    <w:rsid w:val="00AA30C2"/>
    <w:rsid w:val="00AA3400"/>
    <w:rsid w:val="00AA4C9D"/>
    <w:rsid w:val="00AA4D60"/>
    <w:rsid w:val="00AA5742"/>
    <w:rsid w:val="00AA6002"/>
    <w:rsid w:val="00AA6366"/>
    <w:rsid w:val="00AA7649"/>
    <w:rsid w:val="00AA7969"/>
    <w:rsid w:val="00AA7CA4"/>
    <w:rsid w:val="00AB02AB"/>
    <w:rsid w:val="00AB04C1"/>
    <w:rsid w:val="00AB09A1"/>
    <w:rsid w:val="00AB1DAD"/>
    <w:rsid w:val="00AB1F83"/>
    <w:rsid w:val="00AB38FB"/>
    <w:rsid w:val="00AB4DD2"/>
    <w:rsid w:val="00AB539C"/>
    <w:rsid w:val="00AB5BEC"/>
    <w:rsid w:val="00AB71F1"/>
    <w:rsid w:val="00AB74D2"/>
    <w:rsid w:val="00AB7B25"/>
    <w:rsid w:val="00AB7F02"/>
    <w:rsid w:val="00AB7FC1"/>
    <w:rsid w:val="00AC013B"/>
    <w:rsid w:val="00AC04FA"/>
    <w:rsid w:val="00AC095D"/>
    <w:rsid w:val="00AC0CE2"/>
    <w:rsid w:val="00AC1427"/>
    <w:rsid w:val="00AC15A0"/>
    <w:rsid w:val="00AC18F7"/>
    <w:rsid w:val="00AC42F0"/>
    <w:rsid w:val="00AC5626"/>
    <w:rsid w:val="00AC6EDE"/>
    <w:rsid w:val="00AC723A"/>
    <w:rsid w:val="00AC76D0"/>
    <w:rsid w:val="00AC7A71"/>
    <w:rsid w:val="00AD066A"/>
    <w:rsid w:val="00AD0E6F"/>
    <w:rsid w:val="00AD17B5"/>
    <w:rsid w:val="00AD233D"/>
    <w:rsid w:val="00AD239B"/>
    <w:rsid w:val="00AD3C4E"/>
    <w:rsid w:val="00AD44E1"/>
    <w:rsid w:val="00AD4F05"/>
    <w:rsid w:val="00AD5E82"/>
    <w:rsid w:val="00AD62CB"/>
    <w:rsid w:val="00AD6D65"/>
    <w:rsid w:val="00AD7018"/>
    <w:rsid w:val="00AD71D3"/>
    <w:rsid w:val="00AE0563"/>
    <w:rsid w:val="00AE14D6"/>
    <w:rsid w:val="00AE22E1"/>
    <w:rsid w:val="00AE289A"/>
    <w:rsid w:val="00AE2D86"/>
    <w:rsid w:val="00AE3411"/>
    <w:rsid w:val="00AE3AED"/>
    <w:rsid w:val="00AE3FA8"/>
    <w:rsid w:val="00AE414F"/>
    <w:rsid w:val="00AE5B4B"/>
    <w:rsid w:val="00AE69E0"/>
    <w:rsid w:val="00AF03DC"/>
    <w:rsid w:val="00AF0552"/>
    <w:rsid w:val="00AF0CBE"/>
    <w:rsid w:val="00AF18F6"/>
    <w:rsid w:val="00AF1AB4"/>
    <w:rsid w:val="00AF1BA3"/>
    <w:rsid w:val="00AF35BF"/>
    <w:rsid w:val="00AF43DD"/>
    <w:rsid w:val="00AF4800"/>
    <w:rsid w:val="00AF4F66"/>
    <w:rsid w:val="00AF60EF"/>
    <w:rsid w:val="00AF6E39"/>
    <w:rsid w:val="00AF6E9F"/>
    <w:rsid w:val="00AF6FA7"/>
    <w:rsid w:val="00AF771D"/>
    <w:rsid w:val="00B004D6"/>
    <w:rsid w:val="00B007FD"/>
    <w:rsid w:val="00B015B2"/>
    <w:rsid w:val="00B01BF3"/>
    <w:rsid w:val="00B01C06"/>
    <w:rsid w:val="00B03F58"/>
    <w:rsid w:val="00B0471B"/>
    <w:rsid w:val="00B062F7"/>
    <w:rsid w:val="00B06E26"/>
    <w:rsid w:val="00B07EB3"/>
    <w:rsid w:val="00B10C10"/>
    <w:rsid w:val="00B11795"/>
    <w:rsid w:val="00B139D7"/>
    <w:rsid w:val="00B140ED"/>
    <w:rsid w:val="00B1520D"/>
    <w:rsid w:val="00B15764"/>
    <w:rsid w:val="00B16775"/>
    <w:rsid w:val="00B2009D"/>
    <w:rsid w:val="00B2046D"/>
    <w:rsid w:val="00B20678"/>
    <w:rsid w:val="00B2092A"/>
    <w:rsid w:val="00B21630"/>
    <w:rsid w:val="00B21E23"/>
    <w:rsid w:val="00B222FD"/>
    <w:rsid w:val="00B23235"/>
    <w:rsid w:val="00B2365A"/>
    <w:rsid w:val="00B24972"/>
    <w:rsid w:val="00B257C8"/>
    <w:rsid w:val="00B267F6"/>
    <w:rsid w:val="00B27A6A"/>
    <w:rsid w:val="00B304B1"/>
    <w:rsid w:val="00B3087B"/>
    <w:rsid w:val="00B31507"/>
    <w:rsid w:val="00B32502"/>
    <w:rsid w:val="00B32AD3"/>
    <w:rsid w:val="00B331C7"/>
    <w:rsid w:val="00B33C62"/>
    <w:rsid w:val="00B33D78"/>
    <w:rsid w:val="00B3431F"/>
    <w:rsid w:val="00B34BAA"/>
    <w:rsid w:val="00B34C5D"/>
    <w:rsid w:val="00B356F2"/>
    <w:rsid w:val="00B36D3E"/>
    <w:rsid w:val="00B37AA6"/>
    <w:rsid w:val="00B37B05"/>
    <w:rsid w:val="00B407E9"/>
    <w:rsid w:val="00B407EC"/>
    <w:rsid w:val="00B41A6F"/>
    <w:rsid w:val="00B43326"/>
    <w:rsid w:val="00B44392"/>
    <w:rsid w:val="00B44DA7"/>
    <w:rsid w:val="00B45043"/>
    <w:rsid w:val="00B468A2"/>
    <w:rsid w:val="00B46BCB"/>
    <w:rsid w:val="00B46F4B"/>
    <w:rsid w:val="00B470D9"/>
    <w:rsid w:val="00B478F3"/>
    <w:rsid w:val="00B47C2C"/>
    <w:rsid w:val="00B501AC"/>
    <w:rsid w:val="00B507D5"/>
    <w:rsid w:val="00B510C5"/>
    <w:rsid w:val="00B5233A"/>
    <w:rsid w:val="00B52A10"/>
    <w:rsid w:val="00B53DDE"/>
    <w:rsid w:val="00B55079"/>
    <w:rsid w:val="00B5512F"/>
    <w:rsid w:val="00B55174"/>
    <w:rsid w:val="00B5567F"/>
    <w:rsid w:val="00B55A15"/>
    <w:rsid w:val="00B55BBA"/>
    <w:rsid w:val="00B55CAC"/>
    <w:rsid w:val="00B56562"/>
    <w:rsid w:val="00B565B4"/>
    <w:rsid w:val="00B56778"/>
    <w:rsid w:val="00B567E5"/>
    <w:rsid w:val="00B60C54"/>
    <w:rsid w:val="00B6186D"/>
    <w:rsid w:val="00B61FCE"/>
    <w:rsid w:val="00B62384"/>
    <w:rsid w:val="00B62B68"/>
    <w:rsid w:val="00B6318F"/>
    <w:rsid w:val="00B635C6"/>
    <w:rsid w:val="00B642B8"/>
    <w:rsid w:val="00B650E2"/>
    <w:rsid w:val="00B66681"/>
    <w:rsid w:val="00B66E64"/>
    <w:rsid w:val="00B708ED"/>
    <w:rsid w:val="00B711D0"/>
    <w:rsid w:val="00B71453"/>
    <w:rsid w:val="00B71494"/>
    <w:rsid w:val="00B72357"/>
    <w:rsid w:val="00B725ED"/>
    <w:rsid w:val="00B729A6"/>
    <w:rsid w:val="00B73F92"/>
    <w:rsid w:val="00B74720"/>
    <w:rsid w:val="00B749A9"/>
    <w:rsid w:val="00B7528D"/>
    <w:rsid w:val="00B75C68"/>
    <w:rsid w:val="00B766B3"/>
    <w:rsid w:val="00B77243"/>
    <w:rsid w:val="00B7755A"/>
    <w:rsid w:val="00B776FC"/>
    <w:rsid w:val="00B77AB5"/>
    <w:rsid w:val="00B80124"/>
    <w:rsid w:val="00B8086C"/>
    <w:rsid w:val="00B80A1A"/>
    <w:rsid w:val="00B81F8F"/>
    <w:rsid w:val="00B84424"/>
    <w:rsid w:val="00B84F23"/>
    <w:rsid w:val="00B8551D"/>
    <w:rsid w:val="00B85681"/>
    <w:rsid w:val="00B85F07"/>
    <w:rsid w:val="00B86320"/>
    <w:rsid w:val="00B86531"/>
    <w:rsid w:val="00B86B0C"/>
    <w:rsid w:val="00B86BF5"/>
    <w:rsid w:val="00B90520"/>
    <w:rsid w:val="00B907D6"/>
    <w:rsid w:val="00B9163B"/>
    <w:rsid w:val="00B923A2"/>
    <w:rsid w:val="00B93451"/>
    <w:rsid w:val="00B9502C"/>
    <w:rsid w:val="00B95C31"/>
    <w:rsid w:val="00B960AB"/>
    <w:rsid w:val="00B96152"/>
    <w:rsid w:val="00B96194"/>
    <w:rsid w:val="00B975A5"/>
    <w:rsid w:val="00B979A0"/>
    <w:rsid w:val="00B97D31"/>
    <w:rsid w:val="00B97F16"/>
    <w:rsid w:val="00BA0072"/>
    <w:rsid w:val="00BA049A"/>
    <w:rsid w:val="00BA0EC6"/>
    <w:rsid w:val="00BA2F13"/>
    <w:rsid w:val="00BA3A22"/>
    <w:rsid w:val="00BA53E5"/>
    <w:rsid w:val="00BA70F0"/>
    <w:rsid w:val="00BB02B7"/>
    <w:rsid w:val="00BB10EF"/>
    <w:rsid w:val="00BB1E57"/>
    <w:rsid w:val="00BB302C"/>
    <w:rsid w:val="00BB3B16"/>
    <w:rsid w:val="00BB42A1"/>
    <w:rsid w:val="00BB478C"/>
    <w:rsid w:val="00BB56C7"/>
    <w:rsid w:val="00BB5FC8"/>
    <w:rsid w:val="00BB70B7"/>
    <w:rsid w:val="00BB75DF"/>
    <w:rsid w:val="00BC0193"/>
    <w:rsid w:val="00BC16E8"/>
    <w:rsid w:val="00BC26B1"/>
    <w:rsid w:val="00BC2EEE"/>
    <w:rsid w:val="00BC3A6C"/>
    <w:rsid w:val="00BC4329"/>
    <w:rsid w:val="00BC43EB"/>
    <w:rsid w:val="00BC5253"/>
    <w:rsid w:val="00BC5599"/>
    <w:rsid w:val="00BC5DF8"/>
    <w:rsid w:val="00BC7228"/>
    <w:rsid w:val="00BC7239"/>
    <w:rsid w:val="00BD041D"/>
    <w:rsid w:val="00BD0908"/>
    <w:rsid w:val="00BD119A"/>
    <w:rsid w:val="00BD29B0"/>
    <w:rsid w:val="00BD485F"/>
    <w:rsid w:val="00BD5C19"/>
    <w:rsid w:val="00BD61EE"/>
    <w:rsid w:val="00BD6440"/>
    <w:rsid w:val="00BD67EF"/>
    <w:rsid w:val="00BD6807"/>
    <w:rsid w:val="00BD6986"/>
    <w:rsid w:val="00BD6A7F"/>
    <w:rsid w:val="00BD6EC1"/>
    <w:rsid w:val="00BE1213"/>
    <w:rsid w:val="00BE1B64"/>
    <w:rsid w:val="00BE1D28"/>
    <w:rsid w:val="00BE41EA"/>
    <w:rsid w:val="00BE52BE"/>
    <w:rsid w:val="00BE5487"/>
    <w:rsid w:val="00BE6EB7"/>
    <w:rsid w:val="00BE7067"/>
    <w:rsid w:val="00BE725D"/>
    <w:rsid w:val="00BE7699"/>
    <w:rsid w:val="00BE76A7"/>
    <w:rsid w:val="00BF08E9"/>
    <w:rsid w:val="00BF186D"/>
    <w:rsid w:val="00BF1BF5"/>
    <w:rsid w:val="00BF2025"/>
    <w:rsid w:val="00BF3202"/>
    <w:rsid w:val="00BF5797"/>
    <w:rsid w:val="00BF5D13"/>
    <w:rsid w:val="00BF6083"/>
    <w:rsid w:val="00BF6693"/>
    <w:rsid w:val="00BF6B04"/>
    <w:rsid w:val="00BF6EAD"/>
    <w:rsid w:val="00BF798B"/>
    <w:rsid w:val="00C00B33"/>
    <w:rsid w:val="00C010EE"/>
    <w:rsid w:val="00C029F5"/>
    <w:rsid w:val="00C03571"/>
    <w:rsid w:val="00C03F22"/>
    <w:rsid w:val="00C042D7"/>
    <w:rsid w:val="00C0463A"/>
    <w:rsid w:val="00C05856"/>
    <w:rsid w:val="00C0613F"/>
    <w:rsid w:val="00C07FFE"/>
    <w:rsid w:val="00C10172"/>
    <w:rsid w:val="00C10244"/>
    <w:rsid w:val="00C10966"/>
    <w:rsid w:val="00C118C1"/>
    <w:rsid w:val="00C123C4"/>
    <w:rsid w:val="00C12433"/>
    <w:rsid w:val="00C146B8"/>
    <w:rsid w:val="00C14B36"/>
    <w:rsid w:val="00C15811"/>
    <w:rsid w:val="00C16DAB"/>
    <w:rsid w:val="00C17AA1"/>
    <w:rsid w:val="00C20E1C"/>
    <w:rsid w:val="00C2169D"/>
    <w:rsid w:val="00C21E2C"/>
    <w:rsid w:val="00C21FEA"/>
    <w:rsid w:val="00C23805"/>
    <w:rsid w:val="00C23890"/>
    <w:rsid w:val="00C24429"/>
    <w:rsid w:val="00C244D7"/>
    <w:rsid w:val="00C249DB"/>
    <w:rsid w:val="00C25BF5"/>
    <w:rsid w:val="00C25DB6"/>
    <w:rsid w:val="00C25E24"/>
    <w:rsid w:val="00C262F8"/>
    <w:rsid w:val="00C27055"/>
    <w:rsid w:val="00C305EF"/>
    <w:rsid w:val="00C31172"/>
    <w:rsid w:val="00C316CB"/>
    <w:rsid w:val="00C323C7"/>
    <w:rsid w:val="00C33C7C"/>
    <w:rsid w:val="00C342DA"/>
    <w:rsid w:val="00C34869"/>
    <w:rsid w:val="00C34CAA"/>
    <w:rsid w:val="00C35A73"/>
    <w:rsid w:val="00C36453"/>
    <w:rsid w:val="00C36860"/>
    <w:rsid w:val="00C36F04"/>
    <w:rsid w:val="00C40057"/>
    <w:rsid w:val="00C404B6"/>
    <w:rsid w:val="00C40605"/>
    <w:rsid w:val="00C40933"/>
    <w:rsid w:val="00C4256B"/>
    <w:rsid w:val="00C43578"/>
    <w:rsid w:val="00C4393F"/>
    <w:rsid w:val="00C442C5"/>
    <w:rsid w:val="00C454AB"/>
    <w:rsid w:val="00C460A4"/>
    <w:rsid w:val="00C46B40"/>
    <w:rsid w:val="00C475C6"/>
    <w:rsid w:val="00C47922"/>
    <w:rsid w:val="00C50F66"/>
    <w:rsid w:val="00C51099"/>
    <w:rsid w:val="00C517D1"/>
    <w:rsid w:val="00C51D55"/>
    <w:rsid w:val="00C542E4"/>
    <w:rsid w:val="00C54C31"/>
    <w:rsid w:val="00C55539"/>
    <w:rsid w:val="00C55947"/>
    <w:rsid w:val="00C57CBE"/>
    <w:rsid w:val="00C57E62"/>
    <w:rsid w:val="00C57FFB"/>
    <w:rsid w:val="00C6004D"/>
    <w:rsid w:val="00C61031"/>
    <w:rsid w:val="00C617D8"/>
    <w:rsid w:val="00C62066"/>
    <w:rsid w:val="00C626E4"/>
    <w:rsid w:val="00C62F54"/>
    <w:rsid w:val="00C65FD2"/>
    <w:rsid w:val="00C66124"/>
    <w:rsid w:val="00C66594"/>
    <w:rsid w:val="00C66E27"/>
    <w:rsid w:val="00C672A0"/>
    <w:rsid w:val="00C67907"/>
    <w:rsid w:val="00C71D77"/>
    <w:rsid w:val="00C737DF"/>
    <w:rsid w:val="00C74F27"/>
    <w:rsid w:val="00C75332"/>
    <w:rsid w:val="00C75B53"/>
    <w:rsid w:val="00C761B3"/>
    <w:rsid w:val="00C7623E"/>
    <w:rsid w:val="00C767ED"/>
    <w:rsid w:val="00C76CBB"/>
    <w:rsid w:val="00C77003"/>
    <w:rsid w:val="00C77A77"/>
    <w:rsid w:val="00C809CE"/>
    <w:rsid w:val="00C83024"/>
    <w:rsid w:val="00C84B44"/>
    <w:rsid w:val="00C860D9"/>
    <w:rsid w:val="00C8628A"/>
    <w:rsid w:val="00C864F7"/>
    <w:rsid w:val="00C86761"/>
    <w:rsid w:val="00C867FD"/>
    <w:rsid w:val="00C86B7F"/>
    <w:rsid w:val="00C86BE5"/>
    <w:rsid w:val="00C872C1"/>
    <w:rsid w:val="00C87A00"/>
    <w:rsid w:val="00C87CC4"/>
    <w:rsid w:val="00C91275"/>
    <w:rsid w:val="00C91397"/>
    <w:rsid w:val="00C9192A"/>
    <w:rsid w:val="00C91C95"/>
    <w:rsid w:val="00C9223F"/>
    <w:rsid w:val="00C92A52"/>
    <w:rsid w:val="00C92C8D"/>
    <w:rsid w:val="00C92F8C"/>
    <w:rsid w:val="00C9368B"/>
    <w:rsid w:val="00C94261"/>
    <w:rsid w:val="00C96840"/>
    <w:rsid w:val="00C978BD"/>
    <w:rsid w:val="00CA0325"/>
    <w:rsid w:val="00CA0AC3"/>
    <w:rsid w:val="00CA2287"/>
    <w:rsid w:val="00CA3130"/>
    <w:rsid w:val="00CA366B"/>
    <w:rsid w:val="00CA3753"/>
    <w:rsid w:val="00CA47DE"/>
    <w:rsid w:val="00CA4D74"/>
    <w:rsid w:val="00CA5D74"/>
    <w:rsid w:val="00CA6090"/>
    <w:rsid w:val="00CA74E3"/>
    <w:rsid w:val="00CA791B"/>
    <w:rsid w:val="00CA793D"/>
    <w:rsid w:val="00CA7A9D"/>
    <w:rsid w:val="00CB082C"/>
    <w:rsid w:val="00CB0C07"/>
    <w:rsid w:val="00CB12C8"/>
    <w:rsid w:val="00CB155A"/>
    <w:rsid w:val="00CB3D9D"/>
    <w:rsid w:val="00CB4050"/>
    <w:rsid w:val="00CB5902"/>
    <w:rsid w:val="00CB5AB6"/>
    <w:rsid w:val="00CB6078"/>
    <w:rsid w:val="00CB648C"/>
    <w:rsid w:val="00CB7EFA"/>
    <w:rsid w:val="00CB7FA6"/>
    <w:rsid w:val="00CC0817"/>
    <w:rsid w:val="00CC0C4E"/>
    <w:rsid w:val="00CC1F5B"/>
    <w:rsid w:val="00CC202B"/>
    <w:rsid w:val="00CC2188"/>
    <w:rsid w:val="00CC2777"/>
    <w:rsid w:val="00CC3A69"/>
    <w:rsid w:val="00CC4520"/>
    <w:rsid w:val="00CC53F1"/>
    <w:rsid w:val="00CC58D4"/>
    <w:rsid w:val="00CC5992"/>
    <w:rsid w:val="00CC5F14"/>
    <w:rsid w:val="00CC6286"/>
    <w:rsid w:val="00CC62E2"/>
    <w:rsid w:val="00CC64A4"/>
    <w:rsid w:val="00CC7131"/>
    <w:rsid w:val="00CC7E35"/>
    <w:rsid w:val="00CC7FB7"/>
    <w:rsid w:val="00CD015C"/>
    <w:rsid w:val="00CD02C0"/>
    <w:rsid w:val="00CD1B77"/>
    <w:rsid w:val="00CD1E30"/>
    <w:rsid w:val="00CD40B9"/>
    <w:rsid w:val="00CD4668"/>
    <w:rsid w:val="00CD54B7"/>
    <w:rsid w:val="00CD6C2A"/>
    <w:rsid w:val="00CD7702"/>
    <w:rsid w:val="00CD7B80"/>
    <w:rsid w:val="00CD7E95"/>
    <w:rsid w:val="00CD7FA5"/>
    <w:rsid w:val="00CE08C6"/>
    <w:rsid w:val="00CE10F4"/>
    <w:rsid w:val="00CE1315"/>
    <w:rsid w:val="00CE1EAA"/>
    <w:rsid w:val="00CE25CC"/>
    <w:rsid w:val="00CE2ADA"/>
    <w:rsid w:val="00CE376B"/>
    <w:rsid w:val="00CE401C"/>
    <w:rsid w:val="00CE533F"/>
    <w:rsid w:val="00CE5594"/>
    <w:rsid w:val="00CE5842"/>
    <w:rsid w:val="00CE5946"/>
    <w:rsid w:val="00CE6986"/>
    <w:rsid w:val="00CE6F4A"/>
    <w:rsid w:val="00CE7080"/>
    <w:rsid w:val="00CF0B4F"/>
    <w:rsid w:val="00CF19B4"/>
    <w:rsid w:val="00CF20C0"/>
    <w:rsid w:val="00CF2297"/>
    <w:rsid w:val="00CF24DB"/>
    <w:rsid w:val="00CF31D4"/>
    <w:rsid w:val="00CF3521"/>
    <w:rsid w:val="00CF3E23"/>
    <w:rsid w:val="00CF4D7D"/>
    <w:rsid w:val="00CF5604"/>
    <w:rsid w:val="00CF78DD"/>
    <w:rsid w:val="00CF79F3"/>
    <w:rsid w:val="00CF7E5F"/>
    <w:rsid w:val="00D0122D"/>
    <w:rsid w:val="00D0141D"/>
    <w:rsid w:val="00D023FF"/>
    <w:rsid w:val="00D02566"/>
    <w:rsid w:val="00D02C28"/>
    <w:rsid w:val="00D0316A"/>
    <w:rsid w:val="00D048CF"/>
    <w:rsid w:val="00D053D9"/>
    <w:rsid w:val="00D055E0"/>
    <w:rsid w:val="00D05E6F"/>
    <w:rsid w:val="00D06A85"/>
    <w:rsid w:val="00D0790D"/>
    <w:rsid w:val="00D1012F"/>
    <w:rsid w:val="00D10668"/>
    <w:rsid w:val="00D10708"/>
    <w:rsid w:val="00D10B93"/>
    <w:rsid w:val="00D10E1B"/>
    <w:rsid w:val="00D11A05"/>
    <w:rsid w:val="00D1279C"/>
    <w:rsid w:val="00D12E2D"/>
    <w:rsid w:val="00D13604"/>
    <w:rsid w:val="00D1498E"/>
    <w:rsid w:val="00D14E49"/>
    <w:rsid w:val="00D14F50"/>
    <w:rsid w:val="00D1594D"/>
    <w:rsid w:val="00D168C1"/>
    <w:rsid w:val="00D171ED"/>
    <w:rsid w:val="00D175B6"/>
    <w:rsid w:val="00D20BFF"/>
    <w:rsid w:val="00D20C92"/>
    <w:rsid w:val="00D21A21"/>
    <w:rsid w:val="00D21E1A"/>
    <w:rsid w:val="00D221D1"/>
    <w:rsid w:val="00D22924"/>
    <w:rsid w:val="00D22A0F"/>
    <w:rsid w:val="00D2355E"/>
    <w:rsid w:val="00D2369F"/>
    <w:rsid w:val="00D236E7"/>
    <w:rsid w:val="00D23AD2"/>
    <w:rsid w:val="00D26569"/>
    <w:rsid w:val="00D278BC"/>
    <w:rsid w:val="00D3014D"/>
    <w:rsid w:val="00D30963"/>
    <w:rsid w:val="00D30D81"/>
    <w:rsid w:val="00D35322"/>
    <w:rsid w:val="00D35507"/>
    <w:rsid w:val="00D36259"/>
    <w:rsid w:val="00D37022"/>
    <w:rsid w:val="00D37F5A"/>
    <w:rsid w:val="00D40BBC"/>
    <w:rsid w:val="00D41303"/>
    <w:rsid w:val="00D41C2C"/>
    <w:rsid w:val="00D433E8"/>
    <w:rsid w:val="00D4391A"/>
    <w:rsid w:val="00D44D4A"/>
    <w:rsid w:val="00D46083"/>
    <w:rsid w:val="00D4624F"/>
    <w:rsid w:val="00D463D7"/>
    <w:rsid w:val="00D46526"/>
    <w:rsid w:val="00D4661C"/>
    <w:rsid w:val="00D47287"/>
    <w:rsid w:val="00D500DA"/>
    <w:rsid w:val="00D533C4"/>
    <w:rsid w:val="00D535A4"/>
    <w:rsid w:val="00D53CA1"/>
    <w:rsid w:val="00D53E5C"/>
    <w:rsid w:val="00D54EC2"/>
    <w:rsid w:val="00D564D1"/>
    <w:rsid w:val="00D56AD7"/>
    <w:rsid w:val="00D56BBD"/>
    <w:rsid w:val="00D5748B"/>
    <w:rsid w:val="00D57BB0"/>
    <w:rsid w:val="00D603A5"/>
    <w:rsid w:val="00D609D5"/>
    <w:rsid w:val="00D610DE"/>
    <w:rsid w:val="00D614DC"/>
    <w:rsid w:val="00D616C6"/>
    <w:rsid w:val="00D617C6"/>
    <w:rsid w:val="00D62807"/>
    <w:rsid w:val="00D636C5"/>
    <w:rsid w:val="00D63C5D"/>
    <w:rsid w:val="00D63E61"/>
    <w:rsid w:val="00D64158"/>
    <w:rsid w:val="00D64797"/>
    <w:rsid w:val="00D64994"/>
    <w:rsid w:val="00D64D5C"/>
    <w:rsid w:val="00D65A6F"/>
    <w:rsid w:val="00D6713A"/>
    <w:rsid w:val="00D6780E"/>
    <w:rsid w:val="00D67900"/>
    <w:rsid w:val="00D702CD"/>
    <w:rsid w:val="00D70449"/>
    <w:rsid w:val="00D7058A"/>
    <w:rsid w:val="00D70623"/>
    <w:rsid w:val="00D70E20"/>
    <w:rsid w:val="00D71532"/>
    <w:rsid w:val="00D718BF"/>
    <w:rsid w:val="00D71934"/>
    <w:rsid w:val="00D72A98"/>
    <w:rsid w:val="00D732BB"/>
    <w:rsid w:val="00D73689"/>
    <w:rsid w:val="00D73908"/>
    <w:rsid w:val="00D750BD"/>
    <w:rsid w:val="00D75A6E"/>
    <w:rsid w:val="00D7743F"/>
    <w:rsid w:val="00D7784B"/>
    <w:rsid w:val="00D804F5"/>
    <w:rsid w:val="00D81117"/>
    <w:rsid w:val="00D82906"/>
    <w:rsid w:val="00D8562E"/>
    <w:rsid w:val="00D8588B"/>
    <w:rsid w:val="00D86256"/>
    <w:rsid w:val="00D8643C"/>
    <w:rsid w:val="00D87121"/>
    <w:rsid w:val="00D871F6"/>
    <w:rsid w:val="00D872B9"/>
    <w:rsid w:val="00D87373"/>
    <w:rsid w:val="00D87E58"/>
    <w:rsid w:val="00D900AA"/>
    <w:rsid w:val="00D902A9"/>
    <w:rsid w:val="00D90419"/>
    <w:rsid w:val="00D91283"/>
    <w:rsid w:val="00D92288"/>
    <w:rsid w:val="00D932DE"/>
    <w:rsid w:val="00D943C2"/>
    <w:rsid w:val="00D948A0"/>
    <w:rsid w:val="00D94DAE"/>
    <w:rsid w:val="00D97332"/>
    <w:rsid w:val="00D973CA"/>
    <w:rsid w:val="00DA07DF"/>
    <w:rsid w:val="00DA0BC5"/>
    <w:rsid w:val="00DA1711"/>
    <w:rsid w:val="00DA17EC"/>
    <w:rsid w:val="00DA1BF1"/>
    <w:rsid w:val="00DA35BB"/>
    <w:rsid w:val="00DA398D"/>
    <w:rsid w:val="00DA5FA5"/>
    <w:rsid w:val="00DA6E8F"/>
    <w:rsid w:val="00DA7015"/>
    <w:rsid w:val="00DA7EB8"/>
    <w:rsid w:val="00DA7FA7"/>
    <w:rsid w:val="00DB00D0"/>
    <w:rsid w:val="00DB0C0A"/>
    <w:rsid w:val="00DB24A4"/>
    <w:rsid w:val="00DB290F"/>
    <w:rsid w:val="00DB2D81"/>
    <w:rsid w:val="00DB405F"/>
    <w:rsid w:val="00DB504C"/>
    <w:rsid w:val="00DB5547"/>
    <w:rsid w:val="00DB7D6F"/>
    <w:rsid w:val="00DC0928"/>
    <w:rsid w:val="00DC0C7D"/>
    <w:rsid w:val="00DC16A4"/>
    <w:rsid w:val="00DC2F17"/>
    <w:rsid w:val="00DC55AC"/>
    <w:rsid w:val="00DC67D5"/>
    <w:rsid w:val="00DC7184"/>
    <w:rsid w:val="00DC77DE"/>
    <w:rsid w:val="00DD022E"/>
    <w:rsid w:val="00DD026E"/>
    <w:rsid w:val="00DD1304"/>
    <w:rsid w:val="00DD2727"/>
    <w:rsid w:val="00DD4093"/>
    <w:rsid w:val="00DD4F7C"/>
    <w:rsid w:val="00DD574A"/>
    <w:rsid w:val="00DD73E3"/>
    <w:rsid w:val="00DE0ECE"/>
    <w:rsid w:val="00DE120B"/>
    <w:rsid w:val="00DE1219"/>
    <w:rsid w:val="00DE14FB"/>
    <w:rsid w:val="00DE2AC2"/>
    <w:rsid w:val="00DE2AFE"/>
    <w:rsid w:val="00DE2CE7"/>
    <w:rsid w:val="00DE36FB"/>
    <w:rsid w:val="00DE3A1C"/>
    <w:rsid w:val="00DE401E"/>
    <w:rsid w:val="00DE40FD"/>
    <w:rsid w:val="00DE43E0"/>
    <w:rsid w:val="00DE48CE"/>
    <w:rsid w:val="00DE5B28"/>
    <w:rsid w:val="00DE5FCD"/>
    <w:rsid w:val="00DE7EDD"/>
    <w:rsid w:val="00DF0CFC"/>
    <w:rsid w:val="00DF1476"/>
    <w:rsid w:val="00DF1757"/>
    <w:rsid w:val="00DF1EB8"/>
    <w:rsid w:val="00DF1FF1"/>
    <w:rsid w:val="00DF205B"/>
    <w:rsid w:val="00DF29D5"/>
    <w:rsid w:val="00DF31DE"/>
    <w:rsid w:val="00DF3372"/>
    <w:rsid w:val="00DF481F"/>
    <w:rsid w:val="00DF4969"/>
    <w:rsid w:val="00DF4A07"/>
    <w:rsid w:val="00DF4C61"/>
    <w:rsid w:val="00DF598A"/>
    <w:rsid w:val="00DF7636"/>
    <w:rsid w:val="00DF7D78"/>
    <w:rsid w:val="00E0040E"/>
    <w:rsid w:val="00E00B11"/>
    <w:rsid w:val="00E00DF0"/>
    <w:rsid w:val="00E02824"/>
    <w:rsid w:val="00E02CEC"/>
    <w:rsid w:val="00E0386E"/>
    <w:rsid w:val="00E039FF"/>
    <w:rsid w:val="00E055B3"/>
    <w:rsid w:val="00E07CAD"/>
    <w:rsid w:val="00E13330"/>
    <w:rsid w:val="00E133D2"/>
    <w:rsid w:val="00E14546"/>
    <w:rsid w:val="00E15298"/>
    <w:rsid w:val="00E171BD"/>
    <w:rsid w:val="00E17E38"/>
    <w:rsid w:val="00E202E4"/>
    <w:rsid w:val="00E20B45"/>
    <w:rsid w:val="00E20E10"/>
    <w:rsid w:val="00E2101B"/>
    <w:rsid w:val="00E2101D"/>
    <w:rsid w:val="00E2103C"/>
    <w:rsid w:val="00E21064"/>
    <w:rsid w:val="00E24700"/>
    <w:rsid w:val="00E24E24"/>
    <w:rsid w:val="00E27358"/>
    <w:rsid w:val="00E2741D"/>
    <w:rsid w:val="00E27CA9"/>
    <w:rsid w:val="00E3019D"/>
    <w:rsid w:val="00E302D2"/>
    <w:rsid w:val="00E309D0"/>
    <w:rsid w:val="00E311C9"/>
    <w:rsid w:val="00E3136A"/>
    <w:rsid w:val="00E3200E"/>
    <w:rsid w:val="00E322EB"/>
    <w:rsid w:val="00E32A85"/>
    <w:rsid w:val="00E334D5"/>
    <w:rsid w:val="00E34842"/>
    <w:rsid w:val="00E349D2"/>
    <w:rsid w:val="00E34C0E"/>
    <w:rsid w:val="00E35C17"/>
    <w:rsid w:val="00E3619A"/>
    <w:rsid w:val="00E36BB3"/>
    <w:rsid w:val="00E37B9B"/>
    <w:rsid w:val="00E411C7"/>
    <w:rsid w:val="00E41E30"/>
    <w:rsid w:val="00E42EAF"/>
    <w:rsid w:val="00E43E87"/>
    <w:rsid w:val="00E44C18"/>
    <w:rsid w:val="00E45084"/>
    <w:rsid w:val="00E46047"/>
    <w:rsid w:val="00E462EB"/>
    <w:rsid w:val="00E46850"/>
    <w:rsid w:val="00E47EC4"/>
    <w:rsid w:val="00E5124A"/>
    <w:rsid w:val="00E5161F"/>
    <w:rsid w:val="00E51689"/>
    <w:rsid w:val="00E52573"/>
    <w:rsid w:val="00E53180"/>
    <w:rsid w:val="00E53340"/>
    <w:rsid w:val="00E534F2"/>
    <w:rsid w:val="00E535D8"/>
    <w:rsid w:val="00E54993"/>
    <w:rsid w:val="00E569B4"/>
    <w:rsid w:val="00E56F1B"/>
    <w:rsid w:val="00E57706"/>
    <w:rsid w:val="00E57BEB"/>
    <w:rsid w:val="00E626BC"/>
    <w:rsid w:val="00E635FA"/>
    <w:rsid w:val="00E64FD5"/>
    <w:rsid w:val="00E65095"/>
    <w:rsid w:val="00E65614"/>
    <w:rsid w:val="00E65ED7"/>
    <w:rsid w:val="00E66C31"/>
    <w:rsid w:val="00E708D9"/>
    <w:rsid w:val="00E70B64"/>
    <w:rsid w:val="00E71F19"/>
    <w:rsid w:val="00E72115"/>
    <w:rsid w:val="00E729BD"/>
    <w:rsid w:val="00E72C74"/>
    <w:rsid w:val="00E7386E"/>
    <w:rsid w:val="00E738CF"/>
    <w:rsid w:val="00E73963"/>
    <w:rsid w:val="00E740C7"/>
    <w:rsid w:val="00E748F1"/>
    <w:rsid w:val="00E75534"/>
    <w:rsid w:val="00E75D84"/>
    <w:rsid w:val="00E76707"/>
    <w:rsid w:val="00E76E64"/>
    <w:rsid w:val="00E77D1F"/>
    <w:rsid w:val="00E77F2E"/>
    <w:rsid w:val="00E80F2D"/>
    <w:rsid w:val="00E81847"/>
    <w:rsid w:val="00E81BED"/>
    <w:rsid w:val="00E82FA7"/>
    <w:rsid w:val="00E84DFB"/>
    <w:rsid w:val="00E86FF4"/>
    <w:rsid w:val="00E87021"/>
    <w:rsid w:val="00E873E7"/>
    <w:rsid w:val="00E90074"/>
    <w:rsid w:val="00E91235"/>
    <w:rsid w:val="00E91AD1"/>
    <w:rsid w:val="00E91BC0"/>
    <w:rsid w:val="00E92F46"/>
    <w:rsid w:val="00E93E51"/>
    <w:rsid w:val="00E94D30"/>
    <w:rsid w:val="00E9536C"/>
    <w:rsid w:val="00E956E1"/>
    <w:rsid w:val="00E959F5"/>
    <w:rsid w:val="00E97F3E"/>
    <w:rsid w:val="00EA255B"/>
    <w:rsid w:val="00EA319B"/>
    <w:rsid w:val="00EA3D9E"/>
    <w:rsid w:val="00EA5B17"/>
    <w:rsid w:val="00EA5C22"/>
    <w:rsid w:val="00EA5E48"/>
    <w:rsid w:val="00EA71CA"/>
    <w:rsid w:val="00EA7CB6"/>
    <w:rsid w:val="00EA7DEF"/>
    <w:rsid w:val="00EB01AA"/>
    <w:rsid w:val="00EB02ED"/>
    <w:rsid w:val="00EB075D"/>
    <w:rsid w:val="00EB0E9E"/>
    <w:rsid w:val="00EB1344"/>
    <w:rsid w:val="00EB1EC1"/>
    <w:rsid w:val="00EB254E"/>
    <w:rsid w:val="00EB28D4"/>
    <w:rsid w:val="00EB3D6E"/>
    <w:rsid w:val="00EB5035"/>
    <w:rsid w:val="00EB5164"/>
    <w:rsid w:val="00EB5D68"/>
    <w:rsid w:val="00EB5F15"/>
    <w:rsid w:val="00EB6228"/>
    <w:rsid w:val="00EB6711"/>
    <w:rsid w:val="00EB67ED"/>
    <w:rsid w:val="00EB7328"/>
    <w:rsid w:val="00EB766E"/>
    <w:rsid w:val="00EB7758"/>
    <w:rsid w:val="00EB7EFD"/>
    <w:rsid w:val="00EC0031"/>
    <w:rsid w:val="00EC2546"/>
    <w:rsid w:val="00EC2A6D"/>
    <w:rsid w:val="00EC3B1E"/>
    <w:rsid w:val="00EC4543"/>
    <w:rsid w:val="00EC45A2"/>
    <w:rsid w:val="00EC4ECB"/>
    <w:rsid w:val="00EC5C92"/>
    <w:rsid w:val="00EC6450"/>
    <w:rsid w:val="00EC750A"/>
    <w:rsid w:val="00ED0084"/>
    <w:rsid w:val="00ED01F4"/>
    <w:rsid w:val="00ED2E79"/>
    <w:rsid w:val="00ED3CA9"/>
    <w:rsid w:val="00ED462B"/>
    <w:rsid w:val="00ED4D20"/>
    <w:rsid w:val="00ED5EE9"/>
    <w:rsid w:val="00ED64DB"/>
    <w:rsid w:val="00ED671C"/>
    <w:rsid w:val="00ED6E3E"/>
    <w:rsid w:val="00EE00A5"/>
    <w:rsid w:val="00EE032F"/>
    <w:rsid w:val="00EE063C"/>
    <w:rsid w:val="00EE2F6C"/>
    <w:rsid w:val="00EE36A7"/>
    <w:rsid w:val="00EE38F5"/>
    <w:rsid w:val="00EE39D6"/>
    <w:rsid w:val="00EE4F10"/>
    <w:rsid w:val="00EE5589"/>
    <w:rsid w:val="00EE6AC5"/>
    <w:rsid w:val="00EE713D"/>
    <w:rsid w:val="00EE73BD"/>
    <w:rsid w:val="00EE7D79"/>
    <w:rsid w:val="00EF1367"/>
    <w:rsid w:val="00EF1984"/>
    <w:rsid w:val="00EF2149"/>
    <w:rsid w:val="00EF299A"/>
    <w:rsid w:val="00EF2B84"/>
    <w:rsid w:val="00EF2CCD"/>
    <w:rsid w:val="00EF3BDF"/>
    <w:rsid w:val="00EF46F6"/>
    <w:rsid w:val="00EF4D39"/>
    <w:rsid w:val="00EF4ED9"/>
    <w:rsid w:val="00EF5074"/>
    <w:rsid w:val="00EF70CA"/>
    <w:rsid w:val="00F0063D"/>
    <w:rsid w:val="00F01617"/>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E96"/>
    <w:rsid w:val="00F11558"/>
    <w:rsid w:val="00F11E5C"/>
    <w:rsid w:val="00F12C09"/>
    <w:rsid w:val="00F13DE1"/>
    <w:rsid w:val="00F143F4"/>
    <w:rsid w:val="00F1469D"/>
    <w:rsid w:val="00F15542"/>
    <w:rsid w:val="00F16569"/>
    <w:rsid w:val="00F17B0F"/>
    <w:rsid w:val="00F222F1"/>
    <w:rsid w:val="00F240AA"/>
    <w:rsid w:val="00F24201"/>
    <w:rsid w:val="00F243A7"/>
    <w:rsid w:val="00F24C51"/>
    <w:rsid w:val="00F24F71"/>
    <w:rsid w:val="00F25484"/>
    <w:rsid w:val="00F25989"/>
    <w:rsid w:val="00F25A63"/>
    <w:rsid w:val="00F275D6"/>
    <w:rsid w:val="00F32C96"/>
    <w:rsid w:val="00F32FBD"/>
    <w:rsid w:val="00F3387C"/>
    <w:rsid w:val="00F33B74"/>
    <w:rsid w:val="00F33BA9"/>
    <w:rsid w:val="00F33EB4"/>
    <w:rsid w:val="00F345AA"/>
    <w:rsid w:val="00F3670E"/>
    <w:rsid w:val="00F367DB"/>
    <w:rsid w:val="00F36D53"/>
    <w:rsid w:val="00F40EAA"/>
    <w:rsid w:val="00F411C3"/>
    <w:rsid w:val="00F42321"/>
    <w:rsid w:val="00F424CB"/>
    <w:rsid w:val="00F4316E"/>
    <w:rsid w:val="00F43C5A"/>
    <w:rsid w:val="00F4443A"/>
    <w:rsid w:val="00F44800"/>
    <w:rsid w:val="00F44995"/>
    <w:rsid w:val="00F4584C"/>
    <w:rsid w:val="00F471F4"/>
    <w:rsid w:val="00F51DA0"/>
    <w:rsid w:val="00F52152"/>
    <w:rsid w:val="00F52298"/>
    <w:rsid w:val="00F52D14"/>
    <w:rsid w:val="00F5317D"/>
    <w:rsid w:val="00F532AF"/>
    <w:rsid w:val="00F53BAF"/>
    <w:rsid w:val="00F54683"/>
    <w:rsid w:val="00F552F5"/>
    <w:rsid w:val="00F559C5"/>
    <w:rsid w:val="00F5780B"/>
    <w:rsid w:val="00F60B5C"/>
    <w:rsid w:val="00F62E8A"/>
    <w:rsid w:val="00F63A72"/>
    <w:rsid w:val="00F651A8"/>
    <w:rsid w:val="00F677DE"/>
    <w:rsid w:val="00F70080"/>
    <w:rsid w:val="00F705C4"/>
    <w:rsid w:val="00F7084D"/>
    <w:rsid w:val="00F7212F"/>
    <w:rsid w:val="00F7379D"/>
    <w:rsid w:val="00F745C0"/>
    <w:rsid w:val="00F74DF2"/>
    <w:rsid w:val="00F7527D"/>
    <w:rsid w:val="00F75DC5"/>
    <w:rsid w:val="00F7626A"/>
    <w:rsid w:val="00F77813"/>
    <w:rsid w:val="00F81B03"/>
    <w:rsid w:val="00F81D8D"/>
    <w:rsid w:val="00F82404"/>
    <w:rsid w:val="00F85757"/>
    <w:rsid w:val="00F8575C"/>
    <w:rsid w:val="00F8788E"/>
    <w:rsid w:val="00F91A16"/>
    <w:rsid w:val="00F94B7F"/>
    <w:rsid w:val="00F9501E"/>
    <w:rsid w:val="00FA1638"/>
    <w:rsid w:val="00FA2692"/>
    <w:rsid w:val="00FA2A03"/>
    <w:rsid w:val="00FA3227"/>
    <w:rsid w:val="00FA4438"/>
    <w:rsid w:val="00FA4BAC"/>
    <w:rsid w:val="00FA5462"/>
    <w:rsid w:val="00FA5ADB"/>
    <w:rsid w:val="00FA5E2D"/>
    <w:rsid w:val="00FA7C26"/>
    <w:rsid w:val="00FB0D17"/>
    <w:rsid w:val="00FB1191"/>
    <w:rsid w:val="00FB19CF"/>
    <w:rsid w:val="00FB3744"/>
    <w:rsid w:val="00FB3D7C"/>
    <w:rsid w:val="00FB3F50"/>
    <w:rsid w:val="00FB5654"/>
    <w:rsid w:val="00FB5DB0"/>
    <w:rsid w:val="00FB6113"/>
    <w:rsid w:val="00FB67B7"/>
    <w:rsid w:val="00FB6A12"/>
    <w:rsid w:val="00FB6A80"/>
    <w:rsid w:val="00FB7A36"/>
    <w:rsid w:val="00FB7B1C"/>
    <w:rsid w:val="00FB7FFA"/>
    <w:rsid w:val="00FC00F9"/>
    <w:rsid w:val="00FC016E"/>
    <w:rsid w:val="00FC2837"/>
    <w:rsid w:val="00FC29AB"/>
    <w:rsid w:val="00FC2F87"/>
    <w:rsid w:val="00FC3FCB"/>
    <w:rsid w:val="00FC47CB"/>
    <w:rsid w:val="00FC69B2"/>
    <w:rsid w:val="00FC6FB2"/>
    <w:rsid w:val="00FC7150"/>
    <w:rsid w:val="00FC79FB"/>
    <w:rsid w:val="00FD05A9"/>
    <w:rsid w:val="00FD0BB6"/>
    <w:rsid w:val="00FD204A"/>
    <w:rsid w:val="00FD2B55"/>
    <w:rsid w:val="00FD2C3E"/>
    <w:rsid w:val="00FD39E4"/>
    <w:rsid w:val="00FD6554"/>
    <w:rsid w:val="00FD6B64"/>
    <w:rsid w:val="00FD7695"/>
    <w:rsid w:val="00FD797D"/>
    <w:rsid w:val="00FE0729"/>
    <w:rsid w:val="00FE0C3E"/>
    <w:rsid w:val="00FE1966"/>
    <w:rsid w:val="00FE1E7D"/>
    <w:rsid w:val="00FE2063"/>
    <w:rsid w:val="00FE2416"/>
    <w:rsid w:val="00FE2962"/>
    <w:rsid w:val="00FE3183"/>
    <w:rsid w:val="00FE34F3"/>
    <w:rsid w:val="00FE3E4A"/>
    <w:rsid w:val="00FE6034"/>
    <w:rsid w:val="00FE60A1"/>
    <w:rsid w:val="00FE648C"/>
    <w:rsid w:val="00FE700E"/>
    <w:rsid w:val="00FE7200"/>
    <w:rsid w:val="00FF0A31"/>
    <w:rsid w:val="00FF14E2"/>
    <w:rsid w:val="00FF24D3"/>
    <w:rsid w:val="00FF3CFF"/>
    <w:rsid w:val="00FF4990"/>
    <w:rsid w:val="00FF5513"/>
    <w:rsid w:val="00FF58E6"/>
    <w:rsid w:val="00FF5A3C"/>
    <w:rsid w:val="00FF696C"/>
    <w:rsid w:val="00FF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079D90"/>
  <w15:docId w15:val="{82760511-040E-42D2-9DF4-B44B177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CD"/>
    <w:pPr>
      <w:spacing w:after="120"/>
      <w:jc w:val="both"/>
    </w:pPr>
    <w:rPr>
      <w:rFonts w:eastAsia="Times New Roman"/>
      <w:szCs w:val="24"/>
    </w:rPr>
  </w:style>
  <w:style w:type="paragraph" w:styleId="Heading1">
    <w:name w:val="heading 1"/>
    <w:aliases w:val="QAF Heading 1"/>
    <w:basedOn w:val="Normal"/>
    <w:next w:val="Title"/>
    <w:link w:val="Heading1Char"/>
    <w:uiPriority w:val="99"/>
    <w:qFormat/>
    <w:rsid w:val="00180D79"/>
    <w:pPr>
      <w:keepNext/>
      <w:spacing w:line="276" w:lineRule="auto"/>
      <w:outlineLvl w:val="0"/>
    </w:pPr>
    <w:rPr>
      <w:rFonts w:asciiTheme="majorHAnsi" w:hAnsiTheme="majorHAnsi"/>
      <w:b/>
      <w:bCs/>
      <w:iCs/>
      <w:color w:val="3D5897"/>
      <w:sz w:val="24"/>
    </w:rPr>
  </w:style>
  <w:style w:type="paragraph" w:styleId="Heading2">
    <w:name w:val="heading 2"/>
    <w:aliases w:val="QAF Heading 2"/>
    <w:basedOn w:val="Normal"/>
    <w:next w:val="Normal"/>
    <w:link w:val="Heading2Char"/>
    <w:uiPriority w:val="99"/>
    <w:qFormat/>
    <w:rsid w:val="00180D79"/>
    <w:pPr>
      <w:keepNext/>
      <w:spacing w:line="276" w:lineRule="auto"/>
      <w:outlineLvl w:val="1"/>
    </w:pPr>
    <w:rPr>
      <w:bCs/>
      <w:color w:val="3D5897"/>
      <w:sz w:val="24"/>
    </w:rPr>
  </w:style>
  <w:style w:type="paragraph" w:styleId="Heading3">
    <w:name w:val="heading 3"/>
    <w:aliases w:val="QAF Heading 3"/>
    <w:basedOn w:val="Normal"/>
    <w:next w:val="Normal"/>
    <w:link w:val="Heading3Char"/>
    <w:uiPriority w:val="99"/>
    <w:qFormat/>
    <w:rsid w:val="00180D79"/>
    <w:pPr>
      <w:keepNext/>
      <w:keepLines/>
      <w:spacing w:line="276" w:lineRule="auto"/>
      <w:outlineLvl w:val="2"/>
    </w:pPr>
    <w:rPr>
      <w:rFonts w:asciiTheme="majorHAnsi" w:hAnsiTheme="majorHAnsi"/>
      <w:b/>
      <w:bCs/>
      <w:iCs/>
      <w:color w:val="3D5897"/>
      <w:szCs w:val="20"/>
      <w:lang w:eastAsia="en-US"/>
    </w:rPr>
  </w:style>
  <w:style w:type="paragraph" w:styleId="Heading4">
    <w:name w:val="heading 4"/>
    <w:aliases w:val="QAF Heading 4"/>
    <w:basedOn w:val="Heading5"/>
    <w:next w:val="Normal"/>
    <w:link w:val="Heading4Char"/>
    <w:uiPriority w:val="99"/>
    <w:qFormat/>
    <w:rsid w:val="000C1707"/>
    <w:pPr>
      <w:spacing w:before="0"/>
      <w:outlineLvl w:val="3"/>
    </w:pPr>
    <w:rPr>
      <w:rFonts w:asciiTheme="minorHAnsi" w:hAnsiTheme="minorHAnsi"/>
      <w:b w:val="0"/>
      <w:bCs/>
      <w:iCs/>
      <w:color w:val="3D5897"/>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180D79"/>
    <w:rPr>
      <w:rFonts w:asciiTheme="majorHAnsi" w:eastAsia="Times New Roman" w:hAnsiTheme="majorHAnsi"/>
      <w:b/>
      <w:bCs/>
      <w:iCs/>
      <w:color w:val="3D5897"/>
      <w:sz w:val="24"/>
      <w:szCs w:val="24"/>
    </w:rPr>
  </w:style>
  <w:style w:type="character" w:customStyle="1" w:styleId="Heading2Char">
    <w:name w:val="Heading 2 Char"/>
    <w:aliases w:val="QAF Heading 2 Char"/>
    <w:basedOn w:val="DefaultParagraphFont"/>
    <w:link w:val="Heading2"/>
    <w:uiPriority w:val="99"/>
    <w:locked/>
    <w:rsid w:val="00180D79"/>
    <w:rPr>
      <w:rFonts w:eastAsia="Times New Roman"/>
      <w:bCs/>
      <w:color w:val="3D5897"/>
      <w:sz w:val="24"/>
      <w:szCs w:val="24"/>
    </w:rPr>
  </w:style>
  <w:style w:type="character" w:customStyle="1" w:styleId="Heading3Char">
    <w:name w:val="Heading 3 Char"/>
    <w:aliases w:val="QAF Heading 3 Char"/>
    <w:basedOn w:val="DefaultParagraphFont"/>
    <w:link w:val="Heading3"/>
    <w:uiPriority w:val="99"/>
    <w:locked/>
    <w:rsid w:val="00180D79"/>
    <w:rPr>
      <w:rFonts w:asciiTheme="majorHAnsi" w:eastAsia="Times New Roman" w:hAnsiTheme="majorHAnsi"/>
      <w:b/>
      <w:bCs/>
      <w:iCs/>
      <w:color w:val="3D5897"/>
      <w:szCs w:val="20"/>
      <w:lang w:eastAsia="en-US"/>
    </w:rPr>
  </w:style>
  <w:style w:type="character" w:customStyle="1" w:styleId="Heading4Char">
    <w:name w:val="Heading 4 Char"/>
    <w:aliases w:val="QAF Heading 4 Char"/>
    <w:basedOn w:val="DefaultParagraphFont"/>
    <w:link w:val="Heading4"/>
    <w:uiPriority w:val="99"/>
    <w:locked/>
    <w:rsid w:val="000C1707"/>
    <w:rPr>
      <w:rFonts w:asciiTheme="minorHAnsi" w:eastAsiaTheme="majorEastAsia" w:hAnsiTheme="minorHAnsi" w:cstheme="majorBidi"/>
      <w:bCs/>
      <w:iCs/>
      <w:color w:val="3D5897"/>
      <w:lang w:eastAsia="en-US"/>
    </w:rPr>
  </w:style>
  <w:style w:type="paragraph" w:styleId="Title">
    <w:name w:val="Title"/>
    <w:basedOn w:val="Normal"/>
    <w:next w:val="Normal"/>
    <w:link w:val="TitleChar"/>
    <w:uiPriority w:val="99"/>
    <w:qFormat/>
    <w:rsid w:val="00BE76A7"/>
    <w:pPr>
      <w:pBdr>
        <w:bottom w:val="single" w:sz="8" w:space="4" w:color="4F81BD"/>
      </w:pBdr>
      <w:spacing w:after="300"/>
      <w:contextualSpacing/>
      <w:jc w:val="center"/>
    </w:pPr>
    <w:rPr>
      <w:color w:val="3D5897"/>
      <w:spacing w:val="5"/>
      <w:kern w:val="28"/>
      <w:sz w:val="32"/>
      <w:szCs w:val="52"/>
    </w:rPr>
  </w:style>
  <w:style w:type="character" w:customStyle="1" w:styleId="TitleChar">
    <w:name w:val="Title Char"/>
    <w:basedOn w:val="DefaultParagraphFont"/>
    <w:link w:val="Title"/>
    <w:uiPriority w:val="99"/>
    <w:locked/>
    <w:rsid w:val="00BE76A7"/>
    <w:rPr>
      <w:rFonts w:eastAsia="Times New Roman"/>
      <w:color w:val="3D5897"/>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uiPriority w:val="34"/>
    <w:qFormat/>
    <w:rsid w:val="001C3EEC"/>
    <w:pPr>
      <w:ind w:left="720"/>
      <w:contextualSpacing/>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9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rsid w:val="00BF798B"/>
    <w:pPr>
      <w:spacing w:before="120"/>
    </w:pPr>
    <w:rPr>
      <w:rFonts w:ascii="Times New Roman" w:hAnsi="Times New Roman"/>
      <w:sz w:val="24"/>
    </w:rPr>
  </w:style>
  <w:style w:type="character" w:styleId="Strong">
    <w:name w:val="Strong"/>
    <w:uiPriority w:val="99"/>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character" w:styleId="PlaceholderText">
    <w:name w:val="Placeholder Text"/>
    <w:basedOn w:val="DefaultParagraphFont"/>
    <w:uiPriority w:val="99"/>
    <w:semiHidden/>
    <w:rsid w:val="00126BD8"/>
    <w:rPr>
      <w:color w:val="808080"/>
    </w:rPr>
  </w:style>
  <w:style w:type="character" w:styleId="UnresolvedMention">
    <w:name w:val="Unresolved Mention"/>
    <w:basedOn w:val="DefaultParagraphFont"/>
    <w:uiPriority w:val="99"/>
    <w:semiHidden/>
    <w:unhideWhenUsed/>
    <w:rsid w:val="00A657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5017">
      <w:bodyDiv w:val="1"/>
      <w:marLeft w:val="0"/>
      <w:marRight w:val="0"/>
      <w:marTop w:val="0"/>
      <w:marBottom w:val="0"/>
      <w:divBdr>
        <w:top w:val="none" w:sz="0" w:space="0" w:color="auto"/>
        <w:left w:val="none" w:sz="0" w:space="0" w:color="auto"/>
        <w:bottom w:val="none" w:sz="0" w:space="0" w:color="auto"/>
        <w:right w:val="none" w:sz="0" w:space="0" w:color="auto"/>
      </w:divBdr>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559847">
      <w:bodyDiv w:val="1"/>
      <w:marLeft w:val="0"/>
      <w:marRight w:val="0"/>
      <w:marTop w:val="0"/>
      <w:marBottom w:val="0"/>
      <w:divBdr>
        <w:top w:val="none" w:sz="0" w:space="0" w:color="auto"/>
        <w:left w:val="none" w:sz="0" w:space="0" w:color="auto"/>
        <w:bottom w:val="none" w:sz="0" w:space="0" w:color="auto"/>
        <w:right w:val="none" w:sz="0" w:space="0" w:color="auto"/>
      </w:divBdr>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779979821">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 w:id="2044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ndee.ac.uk/qf/quality-and-academic-standards/quality-assurance-processes/emergency-powers/" TargetMode="External"/><Relationship Id="rId18" Type="http://schemas.openxmlformats.org/officeDocument/2006/relationships/hyperlink" Target="http://www.qaa.ac.uk/en/Publications/Documents/FQHEIS-June-2014.pdf" TargetMode="External"/><Relationship Id="rId26" Type="http://schemas.openxmlformats.org/officeDocument/2006/relationships/hyperlink" Target="mailto:registry@dundee.ac.uk" TargetMode="External"/><Relationship Id="rId39" Type="http://schemas.openxmlformats.org/officeDocument/2006/relationships/hyperlink" Target="http://www.dundee.ac.uk/registry/main/contact.htm" TargetMode="External"/><Relationship Id="rId3" Type="http://schemas.openxmlformats.org/officeDocument/2006/relationships/customXml" Target="../customXml/item3.xml"/><Relationship Id="rId21" Type="http://schemas.openxmlformats.org/officeDocument/2006/relationships/hyperlink" Target="https://www.dundee.ac.uk/asc/" TargetMode="External"/><Relationship Id="rId34" Type="http://schemas.openxmlformats.org/officeDocument/2006/relationships/hyperlink" Target="https://www.dundee.ac.uk/asc/" TargetMode="External"/><Relationship Id="rId42" Type="http://schemas.openxmlformats.org/officeDocument/2006/relationships/hyperlink" Target="https://www.dundee.ac.uk/qf/equality-and-diversit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undee.ac.uk/qf/documents/details/policy-and-guidance-approval-and-review-of-non-credit-bearing-taught-provision-.php" TargetMode="External"/><Relationship Id="rId17" Type="http://schemas.openxmlformats.org/officeDocument/2006/relationships/hyperlink" Target="http://scqf.org.uk/the-framework/scqf-levels/" TargetMode="External"/><Relationship Id="rId25" Type="http://schemas.openxmlformats.org/officeDocument/2006/relationships/hyperlink" Target="http://www.dundee.ac.uk/registry/main/contact.htm" TargetMode="External"/><Relationship Id="rId33" Type="http://schemas.openxmlformats.org/officeDocument/2006/relationships/hyperlink" Target="http://scqf.org.uk/media/1130/criteria-explained-final-web-oct-2017.pdf" TargetMode="External"/><Relationship Id="rId38" Type="http://schemas.openxmlformats.org/officeDocument/2006/relationships/hyperlink" Target="http://www.dundee.ac.uk/library/cti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undee.ac.uk/qf/documents/details/considerations-of-good-practice-for-taught-programmes.php" TargetMode="External"/><Relationship Id="rId20" Type="http://schemas.openxmlformats.org/officeDocument/2006/relationships/hyperlink" Target="http://scqf.org.uk/the-framework/about-the-framework/" TargetMode="External"/><Relationship Id="rId29" Type="http://schemas.openxmlformats.org/officeDocument/2006/relationships/hyperlink" Target="https://www.dundee.ac.uk/qf/quality-and-academic-standards/quality-assurance-processes/emergency-powers/" TargetMode="External"/><Relationship Id="rId41" Type="http://schemas.openxmlformats.org/officeDocument/2006/relationships/hyperlink" Target="https://www.dundee.ac.uk/qf/documents/details/university-e-consultation-posting-process-for-new-taught-provision-changes-to-taught-provision-and-changes-to-regulations.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undee.ac.uk/library/ctil/" TargetMode="External"/><Relationship Id="rId32" Type="http://schemas.openxmlformats.org/officeDocument/2006/relationships/hyperlink" Target="http://www.qaa.ac.uk/en/quality-code/subject-benchmark-statements" TargetMode="External"/><Relationship Id="rId37" Type="http://schemas.openxmlformats.org/officeDocument/2006/relationships/hyperlink" Target="http://www.dundee.ac.uk/library/services/liaisonservice/" TargetMode="External"/><Relationship Id="rId40" Type="http://schemas.openxmlformats.org/officeDocument/2006/relationships/hyperlink" Target="mailto:registry@dundee.ac.uk" TargetMode="External"/><Relationship Id="rId45"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dundee.ac.uk/qf/documents/details/rationale-and-business-case-for-new-taught-provision.php" TargetMode="External"/><Relationship Id="rId23" Type="http://schemas.openxmlformats.org/officeDocument/2006/relationships/hyperlink" Target="http://www.dundee.ac.uk/library/services/liaisonservice/" TargetMode="External"/><Relationship Id="rId28" Type="http://schemas.openxmlformats.org/officeDocument/2006/relationships/hyperlink" Target="https://www.dundee.ac.uk/qf/documents/details/policy-and-guidance-on-changes-to-taught-provision-including-withdrawal-and-suspension-of-programmes-and-modules.php" TargetMode="External"/><Relationship Id="rId36" Type="http://schemas.openxmlformats.org/officeDocument/2006/relationships/hyperlink" Target="https://www.dundee.ac.uk/qf/documents/details/module-specification-and-supporting-information-template-and-guidance.php"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qaa.ac.uk/en/quality-code/subject-benchmark-statements" TargetMode="External"/><Relationship Id="rId31" Type="http://schemas.openxmlformats.org/officeDocument/2006/relationships/hyperlink" Target="http://scqf.org.uk/the-framework/scqf-levels/"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undee.ac.uk/international/epdu/contactus/" TargetMode="External"/><Relationship Id="rId22" Type="http://schemas.openxmlformats.org/officeDocument/2006/relationships/hyperlink" Target="https://www.dundee.ac.uk/qf/quality-and-academic-standards/quality-assurance-processes/new-taught-provision/" TargetMode="External"/><Relationship Id="rId27" Type="http://schemas.openxmlformats.org/officeDocument/2006/relationships/hyperlink" Target="https://www.dundee.ac.uk/qf/documents/details/university-e-consultation-posting-process-for-new-taught-provision-changes-to-taught-provision-and-changes-to-regulations.php" TargetMode="External"/><Relationship Id="rId30" Type="http://schemas.openxmlformats.org/officeDocument/2006/relationships/hyperlink" Target="https://www.dundee.ac.uk/qf/documents/details/policy-and-guidance-on-changes-to-taught-provision-including-withdrawal-and-suspension-of-programmes-and-modules.php" TargetMode="External"/><Relationship Id="rId35" Type="http://schemas.openxmlformats.org/officeDocument/2006/relationships/hyperlink" Target="https://www.dundee.ac.uk/qf/documents/details/module-specification-and-supporting-information-template-and-guidance.php" TargetMode="External"/><Relationship Id="rId43" Type="http://schemas.openxmlformats.org/officeDocument/2006/relationships/hyperlink" Target="https://www.heacademy.ac.uk/resources/detail/inclusion/Disability/Inclusive_curriculum_design_in_higher_education" TargetMode="External"/><Relationship Id="rId48" Type="http://schemas.openxmlformats.org/officeDocument/2006/relationships/footer" Target="foot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E67DBCFBF9740BCA72A4ABB6EB73C" ma:contentTypeVersion="12" ma:contentTypeDescription="Create a new document." ma:contentTypeScope="" ma:versionID="74a13f93b3a4100323539351ceadea5d">
  <xsd:schema xmlns:xsd="http://www.w3.org/2001/XMLSchema" xmlns:xs="http://www.w3.org/2001/XMLSchema" xmlns:p="http://schemas.microsoft.com/office/2006/metadata/properties" xmlns:ns2="3c1c51fc-bae2-44a5-bdc2-49017553b655" xmlns:ns3="45c3bbbc-b2ad-4c1f-93cc-7e4344b01f08" targetNamespace="http://schemas.microsoft.com/office/2006/metadata/properties" ma:root="true" ma:fieldsID="f9b827aef5646266e2bdbec1e41dd175" ns2:_="" ns3:_="">
    <xsd:import namespace="3c1c51fc-bae2-44a5-bdc2-49017553b655"/>
    <xsd:import namespace="45c3bbbc-b2ad-4c1f-93cc-7e4344b0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51fc-bae2-44a5-bdc2-49017553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bbbc-b2ad-4c1f-93cc-7e4344b01f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4577-9F23-8245-8704-430E716BE667}">
  <ds:schemaRefs>
    <ds:schemaRef ds:uri="http://schemas.openxmlformats.org/officeDocument/2006/bibliography"/>
  </ds:schemaRefs>
</ds:datastoreItem>
</file>

<file path=customXml/itemProps2.xml><?xml version="1.0" encoding="utf-8"?>
<ds:datastoreItem xmlns:ds="http://schemas.openxmlformats.org/officeDocument/2006/customXml" ds:itemID="{0CB46F0D-8DDE-40CB-99C9-D62B1FC5A4D7}">
  <ds:schemaRefs>
    <ds:schemaRef ds:uri="http://schemas.microsoft.com/sharepoint/v3/contenttype/forms"/>
  </ds:schemaRefs>
</ds:datastoreItem>
</file>

<file path=customXml/itemProps3.xml><?xml version="1.0" encoding="utf-8"?>
<ds:datastoreItem xmlns:ds="http://schemas.openxmlformats.org/officeDocument/2006/customXml" ds:itemID="{DBAEA2BB-D636-4065-85E0-702F6518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51fc-bae2-44a5-bdc2-49017553b655"/>
    <ds:schemaRef ds:uri="45c3bbbc-b2ad-4c1f-93cc-7e4344b01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42FD6-5F9F-489A-AD66-2AA276233064}">
  <ds:schemaRefs>
    <ds:schemaRef ds:uri="http://purl.org/dc/dcmitype/"/>
    <ds:schemaRef ds:uri="45c3bbbc-b2ad-4c1f-93cc-7e4344b01f08"/>
    <ds:schemaRef ds:uri="http://schemas.openxmlformats.org/package/2006/metadata/core-properties"/>
    <ds:schemaRef ds:uri="3c1c51fc-bae2-44a5-bdc2-49017553b655"/>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9A04BE5-64A6-4841-8F0F-59F8F64B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Claire Gregory</cp:lastModifiedBy>
  <cp:revision>2</cp:revision>
  <cp:lastPrinted>2017-11-07T11:45:00Z</cp:lastPrinted>
  <dcterms:created xsi:type="dcterms:W3CDTF">2020-06-09T07:23:00Z</dcterms:created>
  <dcterms:modified xsi:type="dcterms:W3CDTF">2020-06-09T07:23:00Z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0x010100B5CE67DBCFBF9740BCA72A4ABB6EB73C</vt:lpwstr>
  </property>
</Properties>
</file>