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B6834" w14:textId="77777777" w:rsidR="00AA7A3A" w:rsidRDefault="00AA7A3A" w:rsidP="00BE661A">
      <w:pPr>
        <w:spacing w:after="240"/>
        <w:rPr>
          <w:rFonts w:asciiTheme="minorHAnsi" w:hAnsiTheme="minorHAnsi" w:cs="Arial"/>
          <w:b/>
        </w:rPr>
      </w:pPr>
    </w:p>
    <w:p w14:paraId="723D47F6" w14:textId="59187ABB" w:rsidR="007942E4" w:rsidRPr="00BE661A" w:rsidRDefault="00BE4409" w:rsidP="00BE661A">
      <w:pPr>
        <w:spacing w:after="240"/>
        <w:ind w:left="266" w:hanging="266"/>
        <w:jc w:val="center"/>
        <w:rPr>
          <w:rFonts w:asciiTheme="minorHAnsi" w:hAnsiTheme="minorHAnsi" w:cs="Arial"/>
          <w:b/>
          <w:color w:val="1F497D" w:themeColor="text2"/>
          <w:sz w:val="28"/>
          <w:szCs w:val="28"/>
        </w:rPr>
      </w:pPr>
      <w:r w:rsidRPr="007942E4">
        <w:rPr>
          <w:rFonts w:asciiTheme="minorHAnsi" w:hAnsiTheme="minorHAnsi" w:cs="Arial"/>
          <w:b/>
          <w:color w:val="1F497D" w:themeColor="text2"/>
          <w:sz w:val="28"/>
          <w:szCs w:val="28"/>
        </w:rPr>
        <w:t xml:space="preserve">QUALITY </w:t>
      </w:r>
      <w:r w:rsidR="00D95F27" w:rsidRPr="007942E4">
        <w:rPr>
          <w:rFonts w:asciiTheme="minorHAnsi" w:hAnsiTheme="minorHAnsi" w:cs="Arial"/>
          <w:b/>
          <w:color w:val="1F497D" w:themeColor="text2"/>
          <w:sz w:val="28"/>
          <w:szCs w:val="28"/>
        </w:rPr>
        <w:t>FRAMEWORK</w:t>
      </w:r>
      <w:r w:rsidR="00E2182B" w:rsidRPr="007942E4">
        <w:rPr>
          <w:rFonts w:asciiTheme="minorHAnsi" w:hAnsiTheme="minorHAnsi" w:cs="Arial"/>
          <w:b/>
          <w:color w:val="1F497D" w:themeColor="text2"/>
          <w:sz w:val="28"/>
          <w:szCs w:val="28"/>
        </w:rPr>
        <w:t xml:space="preserve"> INCLUSIVE CURRICULUM CHECKLIST &amp; GUIDANCE</w:t>
      </w:r>
    </w:p>
    <w:p w14:paraId="5102A55A" w14:textId="0848F720" w:rsidR="00BE4409" w:rsidRPr="00115CBE" w:rsidRDefault="00BE4409" w:rsidP="3F7DE348">
      <w:pPr>
        <w:spacing w:after="240"/>
        <w:rPr>
          <w:rFonts w:asciiTheme="minorHAnsi" w:hAnsiTheme="minorHAnsi"/>
        </w:rPr>
      </w:pPr>
      <w:r w:rsidRPr="3F7DE348">
        <w:rPr>
          <w:rFonts w:asciiTheme="minorHAnsi" w:hAnsiTheme="minorHAnsi"/>
        </w:rPr>
        <w:t>The aim of this checklist is to support reflection on the inclusiveness of the University’s programmes so that these take account of the protected characteristics under the Equality Act 2010</w:t>
      </w:r>
      <w:r w:rsidRPr="3F7DE348">
        <w:rPr>
          <w:rStyle w:val="FootnoteReference"/>
          <w:rFonts w:asciiTheme="minorHAnsi" w:hAnsiTheme="minorHAnsi"/>
        </w:rPr>
        <w:footnoteReference w:id="1"/>
      </w:r>
      <w:r w:rsidRPr="3F7DE348">
        <w:rPr>
          <w:rFonts w:asciiTheme="minorHAnsi" w:hAnsiTheme="minorHAnsi"/>
        </w:rPr>
        <w:t xml:space="preserve">. As such, it </w:t>
      </w:r>
      <w:r w:rsidR="5806BBFB" w:rsidRPr="3F7DE348">
        <w:rPr>
          <w:rFonts w:asciiTheme="minorHAnsi" w:hAnsiTheme="minorHAnsi"/>
        </w:rPr>
        <w:t xml:space="preserve">is </w:t>
      </w:r>
      <w:r w:rsidRPr="3F7DE348">
        <w:rPr>
          <w:rFonts w:asciiTheme="minorHAnsi" w:hAnsiTheme="minorHAnsi"/>
        </w:rPr>
        <w:t>intended to be used during</w:t>
      </w:r>
      <w:r w:rsidR="00AA7A3A">
        <w:rPr>
          <w:rFonts w:asciiTheme="minorHAnsi" w:hAnsiTheme="minorHAnsi"/>
        </w:rPr>
        <w:t xml:space="preserve"> Programme Approval and Programme Review.</w:t>
      </w:r>
      <w:r w:rsidRPr="3F7DE348">
        <w:rPr>
          <w:rFonts w:asciiTheme="minorHAnsi" w:hAnsiTheme="minorHAnsi"/>
        </w:rPr>
        <w:t xml:space="preserve"> </w:t>
      </w:r>
    </w:p>
    <w:p w14:paraId="3F80544E" w14:textId="15C1CC59" w:rsidR="00E87FB6" w:rsidRDefault="00BE4409" w:rsidP="00D95F27">
      <w:pPr>
        <w:spacing w:after="240"/>
        <w:rPr>
          <w:rFonts w:asciiTheme="minorHAnsi" w:hAnsiTheme="minorHAnsi"/>
        </w:rPr>
      </w:pPr>
      <w:r w:rsidRPr="007549DD">
        <w:rPr>
          <w:rFonts w:asciiTheme="minorHAnsi" w:hAnsiTheme="minorHAnsi"/>
        </w:rPr>
        <w:t xml:space="preserve">Programme teams are likely to address the checklist items in different ways, according to what is appropriate for their discipline. </w:t>
      </w:r>
      <w:r w:rsidR="00AA7A3A">
        <w:rPr>
          <w:rFonts w:asciiTheme="minorHAnsi" w:hAnsiTheme="minorHAnsi"/>
        </w:rPr>
        <w:t>In whatever way the checklist is undertaken</w:t>
      </w:r>
      <w:r w:rsidRPr="007549DD">
        <w:rPr>
          <w:rFonts w:asciiTheme="minorHAnsi" w:hAnsiTheme="minorHAnsi"/>
        </w:rPr>
        <w:t>,</w:t>
      </w:r>
      <w:r w:rsidR="00AA7A3A">
        <w:rPr>
          <w:rFonts w:asciiTheme="minorHAnsi" w:hAnsiTheme="minorHAnsi"/>
        </w:rPr>
        <w:t xml:space="preserve"> the</w:t>
      </w:r>
      <w:r w:rsidRPr="007549DD">
        <w:rPr>
          <w:rFonts w:asciiTheme="minorHAnsi" w:hAnsiTheme="minorHAnsi"/>
        </w:rPr>
        <w:t xml:space="preserve"> School </w:t>
      </w:r>
      <w:r w:rsidR="00DC4A79">
        <w:rPr>
          <w:rFonts w:asciiTheme="minorHAnsi" w:hAnsiTheme="minorHAnsi"/>
        </w:rPr>
        <w:t>Quality &amp; Academic Standards Committee</w:t>
      </w:r>
      <w:r w:rsidR="00DC4A79" w:rsidRPr="007549DD">
        <w:rPr>
          <w:rFonts w:asciiTheme="minorHAnsi" w:hAnsiTheme="minorHAnsi"/>
        </w:rPr>
        <w:t xml:space="preserve"> </w:t>
      </w:r>
      <w:r w:rsidRPr="007549DD">
        <w:rPr>
          <w:rFonts w:asciiTheme="minorHAnsi" w:hAnsiTheme="minorHAnsi"/>
        </w:rPr>
        <w:t xml:space="preserve">should satisfy themselves that programme teams have taken account of equality and diversity in an appropriate way. </w:t>
      </w:r>
    </w:p>
    <w:p w14:paraId="7F734113" w14:textId="17643F39" w:rsidR="007942E4" w:rsidRDefault="00BE4409" w:rsidP="00D95F27">
      <w:pPr>
        <w:spacing w:after="240"/>
        <w:rPr>
          <w:rFonts w:asciiTheme="minorHAnsi" w:hAnsiTheme="minorHAnsi"/>
        </w:rPr>
      </w:pPr>
      <w:r w:rsidRPr="007549DD">
        <w:rPr>
          <w:rFonts w:asciiTheme="minorHAnsi" w:hAnsiTheme="minorHAnsi"/>
        </w:rPr>
        <w:t xml:space="preserve">Action points arising from approvals and reviews should be included in </w:t>
      </w:r>
      <w:r w:rsidRPr="00641157">
        <w:rPr>
          <w:rFonts w:asciiTheme="minorHAnsi" w:hAnsiTheme="minorHAnsi"/>
        </w:rPr>
        <w:t xml:space="preserve">School Learning and Teaching </w:t>
      </w:r>
      <w:r w:rsidR="00641157">
        <w:rPr>
          <w:rFonts w:asciiTheme="minorHAnsi" w:hAnsiTheme="minorHAnsi"/>
        </w:rPr>
        <w:t>Enhancement Reports</w:t>
      </w:r>
      <w:r w:rsidR="00D95F27">
        <w:rPr>
          <w:rFonts w:asciiTheme="minorHAnsi" w:hAnsiTheme="minorHAnsi"/>
        </w:rPr>
        <w:t>.</w:t>
      </w:r>
    </w:p>
    <w:p w14:paraId="12314116" w14:textId="77777777" w:rsidR="00BE661A" w:rsidRPr="007549DD" w:rsidRDefault="00BE661A" w:rsidP="00D95F27">
      <w:pPr>
        <w:spacing w:after="240"/>
        <w:rPr>
          <w:rFonts w:asciiTheme="minorHAnsi" w:hAnsiTheme="minorHAnsi"/>
        </w:rPr>
      </w:pPr>
    </w:p>
    <w:p w14:paraId="07B6F4CC" w14:textId="4539AACD" w:rsidR="00BE4409" w:rsidRPr="007549DD" w:rsidRDefault="083419D1" w:rsidP="7B7C0924">
      <w:pPr>
        <w:jc w:val="center"/>
        <w:rPr>
          <w:rFonts w:asciiTheme="minorHAnsi" w:hAnsiTheme="minorHAnsi" w:cs="Arial"/>
          <w:b/>
          <w:bCs/>
        </w:rPr>
      </w:pPr>
      <w:r w:rsidRPr="007942E4">
        <w:rPr>
          <w:rFonts w:asciiTheme="minorHAnsi" w:hAnsiTheme="minorHAnsi"/>
          <w:b/>
          <w:bCs/>
          <w:color w:val="1F497D" w:themeColor="text2"/>
        </w:rPr>
        <w:t>G</w:t>
      </w:r>
      <w:r w:rsidR="00BE4409" w:rsidRPr="007942E4">
        <w:rPr>
          <w:rFonts w:asciiTheme="minorHAnsi" w:hAnsiTheme="minorHAnsi"/>
          <w:b/>
          <w:bCs/>
          <w:color w:val="1F497D" w:themeColor="text2"/>
        </w:rPr>
        <w:t xml:space="preserve">uidance on completing the checklist is </w:t>
      </w:r>
      <w:r w:rsidR="3E041378" w:rsidRPr="007942E4">
        <w:rPr>
          <w:rFonts w:asciiTheme="minorHAnsi" w:hAnsiTheme="minorHAnsi"/>
          <w:b/>
          <w:bCs/>
          <w:color w:val="1F497D" w:themeColor="text2"/>
        </w:rPr>
        <w:t>provided below.</w:t>
      </w:r>
      <w:r w:rsidR="00BE4409" w:rsidRPr="7B7C0924">
        <w:rPr>
          <w:rFonts w:asciiTheme="minorHAnsi" w:hAnsiTheme="minorHAnsi"/>
        </w:rPr>
        <w:br w:type="page"/>
      </w:r>
      <w:r w:rsidR="00BE4409" w:rsidRPr="7B7C0924">
        <w:rPr>
          <w:rFonts w:asciiTheme="minorHAnsi" w:hAnsiTheme="minorHAnsi" w:cs="Arial"/>
          <w:b/>
          <w:bCs/>
        </w:rPr>
        <w:lastRenderedPageBreak/>
        <w:t xml:space="preserve"> Inclusive Curriculum Checklist</w:t>
      </w:r>
    </w:p>
    <w:p w14:paraId="10D9E94A" w14:textId="77777777" w:rsidR="00BE4409" w:rsidRPr="007549DD" w:rsidRDefault="00BE4409" w:rsidP="00BE4409">
      <w:pPr>
        <w:rPr>
          <w:rFonts w:asciiTheme="minorHAnsi" w:hAnsiTheme="minorHAnsi" w:cs="Arial"/>
          <w:b/>
        </w:rPr>
      </w:pPr>
    </w:p>
    <w:tbl>
      <w:tblPr>
        <w:tblStyle w:val="TableGrid"/>
        <w:tblW w:w="10268" w:type="dxa"/>
        <w:tblInd w:w="-492" w:type="dxa"/>
        <w:tblLayout w:type="fixed"/>
        <w:tblLook w:val="01E0" w:firstRow="1" w:lastRow="1" w:firstColumn="1" w:lastColumn="1" w:noHBand="0" w:noVBand="0"/>
      </w:tblPr>
      <w:tblGrid>
        <w:gridCol w:w="3960"/>
        <w:gridCol w:w="6308"/>
      </w:tblGrid>
      <w:tr w:rsidR="00A03450" w:rsidRPr="00E2182B" w14:paraId="0273FEB0" w14:textId="77777777" w:rsidTr="3503D8AB">
        <w:tc>
          <w:tcPr>
            <w:tcW w:w="3960" w:type="dxa"/>
          </w:tcPr>
          <w:p w14:paraId="12D771AF" w14:textId="77777777" w:rsidR="00A03450" w:rsidRPr="00E2182B" w:rsidRDefault="00A03450" w:rsidP="00091725">
            <w:pPr>
              <w:spacing w:after="60"/>
              <w:rPr>
                <w:rFonts w:asciiTheme="minorHAnsi" w:hAnsiTheme="minorHAnsi" w:cstheme="minorHAnsi"/>
                <w:b/>
                <w:sz w:val="22"/>
                <w:szCs w:val="22"/>
              </w:rPr>
            </w:pPr>
            <w:r w:rsidRPr="00E2182B">
              <w:rPr>
                <w:rFonts w:asciiTheme="minorHAnsi" w:hAnsiTheme="minorHAnsi" w:cstheme="minorHAnsi"/>
                <w:b/>
                <w:sz w:val="22"/>
                <w:szCs w:val="22"/>
              </w:rPr>
              <w:t>Checklist items</w:t>
            </w:r>
          </w:p>
        </w:tc>
        <w:tc>
          <w:tcPr>
            <w:tcW w:w="6308" w:type="dxa"/>
          </w:tcPr>
          <w:p w14:paraId="6A5CBAB7" w14:textId="0B46E4D8" w:rsidR="00A03450" w:rsidRPr="00E2182B" w:rsidRDefault="00A03450" w:rsidP="48CAA26A">
            <w:pPr>
              <w:spacing w:after="60" w:line="259" w:lineRule="auto"/>
              <w:rPr>
                <w:rFonts w:asciiTheme="minorHAnsi" w:hAnsiTheme="minorHAnsi" w:cstheme="minorHAnsi"/>
                <w:b/>
                <w:bCs/>
                <w:sz w:val="22"/>
                <w:szCs w:val="22"/>
              </w:rPr>
            </w:pPr>
            <w:r w:rsidRPr="00E2182B">
              <w:rPr>
                <w:rFonts w:asciiTheme="minorHAnsi" w:hAnsiTheme="minorHAnsi" w:cstheme="minorHAnsi"/>
                <w:b/>
                <w:bCs/>
                <w:sz w:val="22"/>
                <w:szCs w:val="22"/>
              </w:rPr>
              <w:t xml:space="preserve">Please provide an example to demonstrate how this has been achieved. </w:t>
            </w:r>
            <w:r w:rsidRPr="00E2182B">
              <w:rPr>
                <w:rFonts w:asciiTheme="minorHAnsi" w:hAnsiTheme="minorHAnsi" w:cstheme="minorHAnsi"/>
                <w:i/>
                <w:iCs/>
                <w:sz w:val="22"/>
                <w:szCs w:val="22"/>
              </w:rPr>
              <w:t>(Please include cross reference to the Reflective Analysis where relevant.)</w:t>
            </w:r>
          </w:p>
        </w:tc>
      </w:tr>
      <w:tr w:rsidR="00A03450" w:rsidRPr="00E2182B" w14:paraId="665AD4C2" w14:textId="77777777" w:rsidTr="3503D8AB">
        <w:tc>
          <w:tcPr>
            <w:tcW w:w="3960" w:type="dxa"/>
          </w:tcPr>
          <w:p w14:paraId="1A2A3D74" w14:textId="77777777" w:rsidR="00A03450" w:rsidRPr="00AA7A3A" w:rsidRDefault="00A03450" w:rsidP="00091725">
            <w:pPr>
              <w:pStyle w:val="ListBullet"/>
              <w:numPr>
                <w:ilvl w:val="0"/>
                <w:numId w:val="1"/>
              </w:numPr>
              <w:tabs>
                <w:tab w:val="clear" w:pos="720"/>
              </w:tabs>
              <w:spacing w:after="60"/>
              <w:ind w:left="336" w:hanging="336"/>
              <w:rPr>
                <w:rFonts w:asciiTheme="minorHAnsi" w:hAnsiTheme="minorHAnsi" w:cstheme="minorHAnsi"/>
                <w:sz w:val="22"/>
                <w:szCs w:val="22"/>
              </w:rPr>
            </w:pPr>
            <w:r w:rsidRPr="00AA7A3A">
              <w:rPr>
                <w:rFonts w:asciiTheme="minorHAnsi" w:hAnsiTheme="minorHAnsi" w:cstheme="minorHAnsi"/>
                <w:sz w:val="22"/>
                <w:szCs w:val="22"/>
              </w:rPr>
              <w:t>Curriculum development has taken account of a wide range of viewpoints representing the protected characteristics under the Equality Act 2010.</w:t>
            </w:r>
          </w:p>
        </w:tc>
        <w:tc>
          <w:tcPr>
            <w:tcW w:w="6308" w:type="dxa"/>
          </w:tcPr>
          <w:p w14:paraId="2A6E590B" w14:textId="01A36CF1" w:rsidR="00A03450" w:rsidRPr="00E2182B" w:rsidRDefault="00A03450" w:rsidP="00091725">
            <w:pPr>
              <w:spacing w:after="60"/>
              <w:rPr>
                <w:rFonts w:asciiTheme="minorHAnsi" w:hAnsiTheme="minorHAnsi" w:cstheme="minorHAnsi"/>
                <w:sz w:val="22"/>
                <w:szCs w:val="22"/>
              </w:rPr>
            </w:pPr>
          </w:p>
        </w:tc>
      </w:tr>
      <w:tr w:rsidR="00A03450" w:rsidRPr="00E2182B" w14:paraId="40C84936" w14:textId="77777777" w:rsidTr="3503D8AB">
        <w:tc>
          <w:tcPr>
            <w:tcW w:w="3960" w:type="dxa"/>
          </w:tcPr>
          <w:p w14:paraId="0ACDE438" w14:textId="260A17F9" w:rsidR="00A03450" w:rsidRPr="00AA7A3A" w:rsidRDefault="4CE9A857" w:rsidP="00AA7A3A">
            <w:pPr>
              <w:pStyle w:val="ListBullet"/>
              <w:numPr>
                <w:ilvl w:val="0"/>
                <w:numId w:val="1"/>
              </w:numPr>
              <w:tabs>
                <w:tab w:val="clear" w:pos="720"/>
                <w:tab w:val="num" w:pos="375"/>
              </w:tabs>
              <w:spacing w:after="60"/>
              <w:ind w:left="375" w:hanging="375"/>
              <w:rPr>
                <w:rFonts w:asciiTheme="minorHAnsi" w:hAnsiTheme="minorHAnsi" w:cstheme="minorHAnsi"/>
                <w:sz w:val="22"/>
                <w:szCs w:val="22"/>
              </w:rPr>
            </w:pPr>
            <w:r w:rsidRPr="00AA7A3A">
              <w:rPr>
                <w:rFonts w:asciiTheme="minorHAnsi" w:hAnsiTheme="minorHAnsi" w:cstheme="minorHAnsi"/>
                <w:sz w:val="22"/>
                <w:szCs w:val="22"/>
              </w:rPr>
              <w:t xml:space="preserve">Learning outcomes provide flexibility to take account of protected </w:t>
            </w:r>
            <w:r w:rsidR="6D9735BE" w:rsidRPr="00AA7A3A">
              <w:rPr>
                <w:rFonts w:asciiTheme="minorHAnsi" w:hAnsiTheme="minorHAnsi" w:cstheme="minorHAnsi"/>
                <w:sz w:val="22"/>
                <w:szCs w:val="22"/>
              </w:rPr>
              <w:t>characteristics</w:t>
            </w:r>
            <w:r w:rsidRPr="00AA7A3A">
              <w:rPr>
                <w:rFonts w:asciiTheme="minorHAnsi" w:hAnsiTheme="minorHAnsi" w:cstheme="minorHAnsi"/>
                <w:sz w:val="22"/>
                <w:szCs w:val="22"/>
              </w:rPr>
              <w:t xml:space="preserve"> where</w:t>
            </w:r>
            <w:r w:rsidR="50241016" w:rsidRPr="00AA7A3A">
              <w:rPr>
                <w:rFonts w:asciiTheme="minorHAnsi" w:hAnsiTheme="minorHAnsi" w:cstheme="minorHAnsi"/>
                <w:sz w:val="22"/>
                <w:szCs w:val="22"/>
              </w:rPr>
              <w:t xml:space="preserve"> relevant</w:t>
            </w:r>
          </w:p>
        </w:tc>
        <w:tc>
          <w:tcPr>
            <w:tcW w:w="6308" w:type="dxa"/>
          </w:tcPr>
          <w:p w14:paraId="2D02000A" w14:textId="77777777" w:rsidR="00A03450" w:rsidRPr="00E2182B" w:rsidRDefault="00A03450" w:rsidP="00091725">
            <w:pPr>
              <w:spacing w:after="60"/>
              <w:rPr>
                <w:rFonts w:asciiTheme="minorHAnsi" w:hAnsiTheme="minorHAnsi" w:cstheme="minorHAnsi"/>
                <w:sz w:val="22"/>
                <w:szCs w:val="22"/>
              </w:rPr>
            </w:pPr>
          </w:p>
        </w:tc>
      </w:tr>
      <w:tr w:rsidR="00A03450" w:rsidRPr="00E2182B" w14:paraId="452E7A69" w14:textId="77777777" w:rsidTr="3503D8AB">
        <w:tc>
          <w:tcPr>
            <w:tcW w:w="3960" w:type="dxa"/>
          </w:tcPr>
          <w:p w14:paraId="5EAD84B1" w14:textId="77777777" w:rsidR="00A03450" w:rsidRPr="00AA7A3A" w:rsidRDefault="00A03450" w:rsidP="3503D8AB">
            <w:pPr>
              <w:pStyle w:val="ListBullet"/>
              <w:numPr>
                <w:ilvl w:val="0"/>
                <w:numId w:val="1"/>
              </w:numPr>
              <w:tabs>
                <w:tab w:val="clear" w:pos="720"/>
              </w:tabs>
              <w:spacing w:after="60"/>
              <w:ind w:left="336" w:hanging="336"/>
              <w:rPr>
                <w:rFonts w:asciiTheme="minorHAnsi" w:hAnsiTheme="minorHAnsi" w:cstheme="minorHAnsi"/>
                <w:sz w:val="22"/>
                <w:szCs w:val="22"/>
              </w:rPr>
            </w:pPr>
            <w:r w:rsidRPr="00AA7A3A">
              <w:rPr>
                <w:rFonts w:asciiTheme="minorHAnsi" w:hAnsiTheme="minorHAnsi" w:cstheme="minorHAnsi"/>
                <w:sz w:val="22"/>
                <w:szCs w:val="22"/>
              </w:rPr>
              <w:t>Curriculum content reflects an appropriate range of cultural perspectives.</w:t>
            </w:r>
          </w:p>
        </w:tc>
        <w:tc>
          <w:tcPr>
            <w:tcW w:w="6308" w:type="dxa"/>
          </w:tcPr>
          <w:p w14:paraId="3F0886F7" w14:textId="77777777" w:rsidR="00A03450" w:rsidRPr="00E2182B" w:rsidRDefault="00A03450" w:rsidP="00091725">
            <w:pPr>
              <w:spacing w:after="60"/>
              <w:rPr>
                <w:rFonts w:asciiTheme="minorHAnsi" w:hAnsiTheme="minorHAnsi" w:cstheme="minorHAnsi"/>
                <w:sz w:val="22"/>
                <w:szCs w:val="22"/>
              </w:rPr>
            </w:pPr>
          </w:p>
        </w:tc>
      </w:tr>
      <w:tr w:rsidR="00A03450" w:rsidRPr="00E2182B" w14:paraId="52DB5764" w14:textId="77777777" w:rsidTr="3503D8AB">
        <w:tc>
          <w:tcPr>
            <w:tcW w:w="3960" w:type="dxa"/>
          </w:tcPr>
          <w:p w14:paraId="231AEF54" w14:textId="77777777" w:rsidR="00A03450" w:rsidRPr="00AA7A3A" w:rsidRDefault="00A03450" w:rsidP="3503D8AB">
            <w:pPr>
              <w:pStyle w:val="ListBullet"/>
              <w:numPr>
                <w:ilvl w:val="0"/>
                <w:numId w:val="1"/>
              </w:numPr>
              <w:tabs>
                <w:tab w:val="clear" w:pos="720"/>
              </w:tabs>
              <w:spacing w:after="60"/>
              <w:ind w:left="336" w:hanging="336"/>
              <w:rPr>
                <w:rFonts w:asciiTheme="minorHAnsi" w:hAnsiTheme="minorHAnsi" w:cstheme="minorHAnsi"/>
                <w:color w:val="000000"/>
                <w:sz w:val="22"/>
                <w:szCs w:val="22"/>
              </w:rPr>
            </w:pPr>
            <w:r w:rsidRPr="00AA7A3A">
              <w:rPr>
                <w:rFonts w:asciiTheme="minorHAnsi" w:hAnsiTheme="minorHAnsi" w:cstheme="minorHAnsi"/>
                <w:sz w:val="22"/>
                <w:szCs w:val="22"/>
              </w:rPr>
              <w:t xml:space="preserve">An appropriate range of teaching approaches is used. </w:t>
            </w:r>
          </w:p>
        </w:tc>
        <w:tc>
          <w:tcPr>
            <w:tcW w:w="6308" w:type="dxa"/>
          </w:tcPr>
          <w:p w14:paraId="7B324704" w14:textId="77777777" w:rsidR="00A03450" w:rsidRPr="00E2182B" w:rsidRDefault="00A03450" w:rsidP="00091725">
            <w:pPr>
              <w:spacing w:after="60"/>
              <w:rPr>
                <w:rFonts w:asciiTheme="minorHAnsi" w:hAnsiTheme="minorHAnsi" w:cstheme="minorHAnsi"/>
                <w:sz w:val="22"/>
                <w:szCs w:val="22"/>
              </w:rPr>
            </w:pPr>
          </w:p>
        </w:tc>
      </w:tr>
      <w:tr w:rsidR="00A03450" w:rsidRPr="00E2182B" w14:paraId="2554CBF3" w14:textId="77777777" w:rsidTr="3503D8AB">
        <w:tc>
          <w:tcPr>
            <w:tcW w:w="3960" w:type="dxa"/>
          </w:tcPr>
          <w:p w14:paraId="43B489BE" w14:textId="77777777" w:rsidR="00A03450" w:rsidRPr="00AA7A3A" w:rsidRDefault="00A03450" w:rsidP="3503D8AB">
            <w:pPr>
              <w:pStyle w:val="ListBullet"/>
              <w:numPr>
                <w:ilvl w:val="0"/>
                <w:numId w:val="1"/>
              </w:numPr>
              <w:tabs>
                <w:tab w:val="clear" w:pos="720"/>
              </w:tabs>
              <w:spacing w:after="60"/>
              <w:ind w:left="322" w:hanging="322"/>
              <w:rPr>
                <w:rFonts w:asciiTheme="minorHAnsi" w:hAnsiTheme="minorHAnsi" w:cstheme="minorHAnsi"/>
                <w:sz w:val="22"/>
                <w:szCs w:val="22"/>
              </w:rPr>
            </w:pPr>
            <w:r w:rsidRPr="00AA7A3A">
              <w:rPr>
                <w:rFonts w:asciiTheme="minorHAnsi" w:hAnsiTheme="minorHAnsi" w:cstheme="minorHAnsi"/>
                <w:sz w:val="22"/>
                <w:szCs w:val="22"/>
              </w:rPr>
              <w:t>Strategies are in place to engage all students in class activities and to allow the student body to integrate with one another.</w:t>
            </w:r>
          </w:p>
        </w:tc>
        <w:tc>
          <w:tcPr>
            <w:tcW w:w="6308" w:type="dxa"/>
          </w:tcPr>
          <w:p w14:paraId="465AD2C6" w14:textId="77777777" w:rsidR="00A03450" w:rsidRPr="00E2182B" w:rsidRDefault="00A03450" w:rsidP="00091725">
            <w:pPr>
              <w:pStyle w:val="ListBullet"/>
              <w:numPr>
                <w:ilvl w:val="0"/>
                <w:numId w:val="0"/>
              </w:numPr>
              <w:spacing w:after="60"/>
              <w:ind w:left="72"/>
              <w:rPr>
                <w:rFonts w:asciiTheme="minorHAnsi" w:hAnsiTheme="minorHAnsi" w:cstheme="minorHAnsi"/>
                <w:sz w:val="22"/>
                <w:szCs w:val="22"/>
              </w:rPr>
            </w:pPr>
          </w:p>
        </w:tc>
      </w:tr>
      <w:tr w:rsidR="00A03450" w:rsidRPr="00E2182B" w14:paraId="13804E9E" w14:textId="77777777" w:rsidTr="3503D8AB">
        <w:tc>
          <w:tcPr>
            <w:tcW w:w="3960" w:type="dxa"/>
          </w:tcPr>
          <w:p w14:paraId="4120FE79" w14:textId="32B9EDE6" w:rsidR="00A03450" w:rsidRPr="00AA7A3A" w:rsidRDefault="00A03450" w:rsidP="3F7DE348">
            <w:pPr>
              <w:pStyle w:val="ListBullet"/>
              <w:numPr>
                <w:ilvl w:val="0"/>
                <w:numId w:val="1"/>
              </w:numPr>
              <w:tabs>
                <w:tab w:val="clear" w:pos="720"/>
              </w:tabs>
              <w:spacing w:after="60"/>
              <w:ind w:left="322" w:hanging="322"/>
              <w:rPr>
                <w:rFonts w:asciiTheme="minorHAnsi" w:hAnsiTheme="minorHAnsi" w:cstheme="minorHAnsi"/>
                <w:sz w:val="22"/>
                <w:szCs w:val="22"/>
              </w:rPr>
            </w:pPr>
            <w:r w:rsidRPr="00AA7A3A">
              <w:rPr>
                <w:rFonts w:asciiTheme="minorHAnsi" w:hAnsiTheme="minorHAnsi" w:cstheme="minorHAnsi"/>
                <w:sz w:val="22"/>
                <w:szCs w:val="22"/>
              </w:rPr>
              <w:t xml:space="preserve">Assessment methods </w:t>
            </w:r>
            <w:r w:rsidR="3ED259FC" w:rsidRPr="00AA7A3A">
              <w:rPr>
                <w:rFonts w:asciiTheme="minorHAnsi" w:hAnsiTheme="minorHAnsi" w:cstheme="minorHAnsi"/>
                <w:sz w:val="22"/>
                <w:szCs w:val="22"/>
              </w:rPr>
              <w:t xml:space="preserve">take account of different student </w:t>
            </w:r>
            <w:proofErr w:type="gramStart"/>
            <w:r w:rsidR="3ED259FC" w:rsidRPr="00AA7A3A">
              <w:rPr>
                <w:rFonts w:asciiTheme="minorHAnsi" w:hAnsiTheme="minorHAnsi" w:cstheme="minorHAnsi"/>
                <w:sz w:val="22"/>
                <w:szCs w:val="22"/>
              </w:rPr>
              <w:t xml:space="preserve">needs </w:t>
            </w:r>
            <w:r w:rsidR="1E24CC95" w:rsidRPr="00AA7A3A">
              <w:rPr>
                <w:rFonts w:asciiTheme="minorHAnsi" w:hAnsiTheme="minorHAnsi" w:cstheme="minorHAnsi"/>
                <w:sz w:val="22"/>
                <w:szCs w:val="22"/>
              </w:rPr>
              <w:t xml:space="preserve"> f</w:t>
            </w:r>
            <w:proofErr w:type="gramEnd"/>
          </w:p>
        </w:tc>
        <w:tc>
          <w:tcPr>
            <w:tcW w:w="6308" w:type="dxa"/>
          </w:tcPr>
          <w:p w14:paraId="0C618036" w14:textId="77777777" w:rsidR="00A03450" w:rsidRPr="00E2182B" w:rsidRDefault="00A03450" w:rsidP="00091725">
            <w:pPr>
              <w:pStyle w:val="ListBullet"/>
              <w:numPr>
                <w:ilvl w:val="0"/>
                <w:numId w:val="0"/>
              </w:numPr>
              <w:spacing w:after="60"/>
              <w:ind w:left="72"/>
              <w:rPr>
                <w:rFonts w:asciiTheme="minorHAnsi" w:hAnsiTheme="minorHAnsi" w:cstheme="minorHAnsi"/>
                <w:sz w:val="22"/>
                <w:szCs w:val="22"/>
              </w:rPr>
            </w:pPr>
          </w:p>
        </w:tc>
      </w:tr>
      <w:tr w:rsidR="00A03450" w:rsidRPr="00E2182B" w14:paraId="10CFCFA3" w14:textId="77777777" w:rsidTr="3503D8AB">
        <w:tc>
          <w:tcPr>
            <w:tcW w:w="3960" w:type="dxa"/>
          </w:tcPr>
          <w:p w14:paraId="3C54C350" w14:textId="77777777" w:rsidR="00A03450" w:rsidRPr="00AA7A3A" w:rsidRDefault="00A03450" w:rsidP="3503D8AB">
            <w:pPr>
              <w:pStyle w:val="ListBullet"/>
              <w:numPr>
                <w:ilvl w:val="0"/>
                <w:numId w:val="1"/>
              </w:numPr>
              <w:tabs>
                <w:tab w:val="clear" w:pos="720"/>
              </w:tabs>
              <w:spacing w:after="60"/>
              <w:ind w:left="322" w:hanging="322"/>
              <w:rPr>
                <w:rFonts w:asciiTheme="minorHAnsi" w:hAnsiTheme="minorHAnsi" w:cstheme="minorHAnsi"/>
                <w:sz w:val="22"/>
                <w:szCs w:val="22"/>
              </w:rPr>
            </w:pPr>
            <w:r w:rsidRPr="00AA7A3A">
              <w:rPr>
                <w:rFonts w:asciiTheme="minorHAnsi" w:hAnsiTheme="minorHAnsi" w:cstheme="minorHAnsi"/>
                <w:sz w:val="22"/>
                <w:szCs w:val="22"/>
              </w:rPr>
              <w:t>Feedback given to students on their work is sensitive to the need to maintain the dignity of the individual.</w:t>
            </w:r>
          </w:p>
        </w:tc>
        <w:tc>
          <w:tcPr>
            <w:tcW w:w="6308" w:type="dxa"/>
          </w:tcPr>
          <w:p w14:paraId="12242C9A" w14:textId="77777777" w:rsidR="00A03450" w:rsidRPr="00E2182B" w:rsidRDefault="00A03450" w:rsidP="00091725">
            <w:pPr>
              <w:spacing w:after="60"/>
              <w:rPr>
                <w:rFonts w:asciiTheme="minorHAnsi" w:hAnsiTheme="minorHAnsi" w:cstheme="minorHAnsi"/>
                <w:sz w:val="22"/>
                <w:szCs w:val="22"/>
              </w:rPr>
            </w:pPr>
          </w:p>
        </w:tc>
      </w:tr>
      <w:tr w:rsidR="00A03450" w:rsidRPr="00E2182B" w14:paraId="6D7C6F03" w14:textId="77777777" w:rsidTr="3503D8AB">
        <w:tc>
          <w:tcPr>
            <w:tcW w:w="3960" w:type="dxa"/>
          </w:tcPr>
          <w:p w14:paraId="2E572CD2" w14:textId="521473D9" w:rsidR="00A03450" w:rsidRPr="00AA7A3A" w:rsidRDefault="00A03450" w:rsidP="00AA7A3A">
            <w:pPr>
              <w:pStyle w:val="ListParagraph"/>
              <w:numPr>
                <w:ilvl w:val="0"/>
                <w:numId w:val="1"/>
              </w:numPr>
              <w:tabs>
                <w:tab w:val="clear" w:pos="720"/>
                <w:tab w:val="num" w:pos="375"/>
              </w:tabs>
              <w:spacing w:after="60"/>
              <w:ind w:left="375" w:hanging="375"/>
              <w:rPr>
                <w:rFonts w:asciiTheme="minorHAnsi" w:eastAsiaTheme="minorEastAsia" w:hAnsiTheme="minorHAnsi" w:cstheme="minorHAnsi"/>
                <w:sz w:val="22"/>
                <w:szCs w:val="22"/>
              </w:rPr>
            </w:pPr>
            <w:r w:rsidRPr="00AA7A3A">
              <w:rPr>
                <w:rFonts w:asciiTheme="minorHAnsi" w:hAnsiTheme="minorHAnsi" w:cstheme="minorHAnsi"/>
                <w:sz w:val="22"/>
                <w:szCs w:val="22"/>
              </w:rPr>
              <w:t xml:space="preserve">Where used, placements, internships and periods of learning abroad have been scrutinised in relation to equality and diversity issues. </w:t>
            </w:r>
            <w:proofErr w:type="gramStart"/>
            <w:r w:rsidRPr="00AA7A3A">
              <w:rPr>
                <w:rFonts w:asciiTheme="minorHAnsi" w:hAnsiTheme="minorHAnsi" w:cstheme="minorHAnsi"/>
                <w:sz w:val="22"/>
                <w:szCs w:val="22"/>
              </w:rPr>
              <w:t>See  under</w:t>
            </w:r>
            <w:proofErr w:type="gramEnd"/>
            <w:r w:rsidRPr="00AA7A3A">
              <w:rPr>
                <w:rFonts w:asciiTheme="minorHAnsi" w:hAnsiTheme="minorHAnsi" w:cstheme="minorHAnsi"/>
                <w:sz w:val="22"/>
                <w:szCs w:val="22"/>
              </w:rPr>
              <w:t xml:space="preserve"> ‘Arranging Work Placements for Disabled Students’.</w:t>
            </w:r>
            <w:r w:rsidR="433C5DE7" w:rsidRPr="00AA7A3A">
              <w:rPr>
                <w:rFonts w:asciiTheme="minorHAnsi" w:hAnsiTheme="minorHAnsi" w:cstheme="minorHAnsi"/>
                <w:sz w:val="22"/>
                <w:szCs w:val="22"/>
              </w:rPr>
              <w:t xml:space="preserve"> </w:t>
            </w:r>
            <w:hyperlink r:id="rId10">
              <w:r w:rsidR="433C5DE7" w:rsidRPr="00AA7A3A">
                <w:rPr>
                  <w:rStyle w:val="Hyperlink"/>
                  <w:rFonts w:asciiTheme="minorHAnsi" w:hAnsiTheme="minorHAnsi" w:cstheme="minorHAnsi"/>
                  <w:sz w:val="22"/>
                  <w:szCs w:val="22"/>
                </w:rPr>
                <w:t>https://www.dundee.ac.uk/disabilityservices/resources/guidance/</w:t>
              </w:r>
            </w:hyperlink>
          </w:p>
          <w:p w14:paraId="0F5D62D4" w14:textId="06EC24C1" w:rsidR="00A03450" w:rsidRPr="00AA7A3A" w:rsidRDefault="00A03450" w:rsidP="4BEA2A0B">
            <w:pPr>
              <w:pStyle w:val="ListParagraph"/>
              <w:spacing w:after="60"/>
              <w:rPr>
                <w:rFonts w:asciiTheme="minorHAnsi" w:hAnsiTheme="minorHAnsi" w:cstheme="minorHAnsi"/>
                <w:sz w:val="22"/>
                <w:szCs w:val="22"/>
              </w:rPr>
            </w:pPr>
          </w:p>
        </w:tc>
        <w:tc>
          <w:tcPr>
            <w:tcW w:w="6308" w:type="dxa"/>
          </w:tcPr>
          <w:p w14:paraId="36837DC3" w14:textId="77777777" w:rsidR="00A03450" w:rsidRPr="00E2182B" w:rsidRDefault="00A03450" w:rsidP="00091725">
            <w:pPr>
              <w:spacing w:after="60"/>
              <w:rPr>
                <w:rFonts w:asciiTheme="minorHAnsi" w:hAnsiTheme="minorHAnsi" w:cstheme="minorHAnsi"/>
                <w:sz w:val="22"/>
                <w:szCs w:val="22"/>
              </w:rPr>
            </w:pPr>
          </w:p>
        </w:tc>
      </w:tr>
    </w:tbl>
    <w:p w14:paraId="59BBC9BD" w14:textId="72F881E1" w:rsidR="007D7C49" w:rsidRDefault="007D7C49" w:rsidP="00091725">
      <w:pPr>
        <w:rPr>
          <w:rFonts w:asciiTheme="minorHAnsi" w:hAnsiTheme="minorHAnsi"/>
        </w:rPr>
      </w:pPr>
    </w:p>
    <w:p w14:paraId="5049B6F7" w14:textId="77777777" w:rsidR="00E2182B" w:rsidRDefault="00E2182B">
      <w:pPr>
        <w:rPr>
          <w:rFonts w:ascii="Calibri" w:eastAsia="Calibri" w:hAnsi="Calibri" w:cs="Calibri"/>
          <w:b/>
          <w:bCs/>
          <w:lang w:bidi="en-GB"/>
        </w:rPr>
      </w:pPr>
      <w:r>
        <w:br w:type="page"/>
      </w:r>
    </w:p>
    <w:p w14:paraId="24878F2D" w14:textId="55FFC587" w:rsidR="00C11F4F" w:rsidRDefault="00C11F4F" w:rsidP="00C11F4F">
      <w:pPr>
        <w:pStyle w:val="BodyText"/>
        <w:spacing w:line="292" w:lineRule="exact"/>
        <w:ind w:left="1660" w:right="1391"/>
        <w:jc w:val="center"/>
      </w:pPr>
      <w:r>
        <w:lastRenderedPageBreak/>
        <w:t xml:space="preserve">Guidance note </w:t>
      </w:r>
    </w:p>
    <w:p w14:paraId="7F8C7873" w14:textId="77777777" w:rsidR="00C11F4F" w:rsidRDefault="00C11F4F" w:rsidP="00C11F4F">
      <w:pPr>
        <w:pStyle w:val="BodyText"/>
        <w:spacing w:line="292" w:lineRule="exact"/>
        <w:ind w:left="1660" w:right="1391"/>
        <w:jc w:val="center"/>
      </w:pPr>
    </w:p>
    <w:p w14:paraId="4AF5E271" w14:textId="77777777" w:rsidR="00C11F4F" w:rsidRDefault="00C11F4F" w:rsidP="00C11F4F">
      <w:pPr>
        <w:spacing w:before="11"/>
        <w:rPr>
          <w:b/>
          <w:sz w:val="9"/>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7229"/>
      </w:tblGrid>
      <w:tr w:rsidR="00C11F4F" w:rsidRPr="00E2182B" w14:paraId="52FFEEA3" w14:textId="77777777" w:rsidTr="007942E4">
        <w:trPr>
          <w:trHeight w:val="364"/>
        </w:trPr>
        <w:tc>
          <w:tcPr>
            <w:tcW w:w="3261" w:type="dxa"/>
          </w:tcPr>
          <w:p w14:paraId="55FCDCE5" w14:textId="77777777" w:rsidR="00C11F4F" w:rsidRPr="00E2182B" w:rsidRDefault="00C11F4F" w:rsidP="00E2182B">
            <w:pPr>
              <w:pStyle w:val="TableParagraph"/>
              <w:spacing w:line="360" w:lineRule="auto"/>
              <w:rPr>
                <w:b/>
                <w:bCs/>
              </w:rPr>
            </w:pPr>
            <w:r w:rsidRPr="00E2182B">
              <w:rPr>
                <w:b/>
                <w:bCs/>
              </w:rPr>
              <w:t>Checklist item</w:t>
            </w:r>
          </w:p>
        </w:tc>
        <w:tc>
          <w:tcPr>
            <w:tcW w:w="7229" w:type="dxa"/>
          </w:tcPr>
          <w:p w14:paraId="60B320D8" w14:textId="77777777" w:rsidR="00C11F4F" w:rsidRPr="00E2182B" w:rsidRDefault="00C11F4F" w:rsidP="00E2182B">
            <w:pPr>
              <w:pStyle w:val="TableParagraph"/>
              <w:spacing w:line="360" w:lineRule="auto"/>
              <w:rPr>
                <w:b/>
                <w:bCs/>
              </w:rPr>
            </w:pPr>
            <w:r w:rsidRPr="00E2182B">
              <w:rPr>
                <w:b/>
                <w:bCs/>
              </w:rPr>
              <w:t>Comments and resources</w:t>
            </w:r>
          </w:p>
        </w:tc>
      </w:tr>
      <w:tr w:rsidR="00C11F4F" w:rsidRPr="00E2182B" w14:paraId="2A1C8992" w14:textId="77777777" w:rsidTr="007942E4">
        <w:trPr>
          <w:trHeight w:val="1828"/>
        </w:trPr>
        <w:tc>
          <w:tcPr>
            <w:tcW w:w="3261" w:type="dxa"/>
          </w:tcPr>
          <w:p w14:paraId="3F72B9D5" w14:textId="77777777" w:rsidR="00C11F4F" w:rsidRPr="00E2182B" w:rsidRDefault="00C11F4F" w:rsidP="00E2182B">
            <w:pPr>
              <w:pStyle w:val="TableParagraph"/>
              <w:spacing w:line="360" w:lineRule="auto"/>
              <w:ind w:left="278" w:right="284" w:hanging="173"/>
            </w:pPr>
            <w:r w:rsidRPr="00E2182B">
              <w:t>1. Curriculum development has taken account of a wide range of viewpoints representing the protected characteristics under the Equality Act 2010.</w:t>
            </w:r>
          </w:p>
        </w:tc>
        <w:tc>
          <w:tcPr>
            <w:tcW w:w="7229" w:type="dxa"/>
          </w:tcPr>
          <w:p w14:paraId="2F4FF952" w14:textId="77777777" w:rsidR="00C11F4F" w:rsidRPr="00E2182B" w:rsidRDefault="00C11F4F" w:rsidP="00E2182B">
            <w:pPr>
              <w:pStyle w:val="TableParagraph"/>
              <w:spacing w:line="360" w:lineRule="auto"/>
            </w:pPr>
            <w:r w:rsidRPr="00E2182B">
              <w:t>Implicit to the Equality Act is the assumption that an individual or small group cannot easily envisage how policy and practice might affect or influence others falling within the protected characteristics. For this reason, a wide range of stakeholders should be involved in planning and developing the curriculum. Schools might consider involving groups representing protected characteristics to seek their views.</w:t>
            </w:r>
          </w:p>
        </w:tc>
      </w:tr>
      <w:tr w:rsidR="00C11F4F" w:rsidRPr="00E2182B" w14:paraId="41C205FD" w14:textId="77777777" w:rsidTr="007942E4">
        <w:trPr>
          <w:trHeight w:val="854"/>
        </w:trPr>
        <w:tc>
          <w:tcPr>
            <w:tcW w:w="3261" w:type="dxa"/>
          </w:tcPr>
          <w:p w14:paraId="23D66428" w14:textId="45ED46A6" w:rsidR="00C11F4F" w:rsidRPr="00E2182B" w:rsidRDefault="00AA7A3A" w:rsidP="00AA7A3A">
            <w:pPr>
              <w:pStyle w:val="TableParagraph"/>
              <w:spacing w:line="360" w:lineRule="auto"/>
              <w:ind w:left="278" w:right="268" w:hanging="142"/>
            </w:pPr>
            <w:r>
              <w:t xml:space="preserve">2. </w:t>
            </w:r>
            <w:r w:rsidR="7D1A9823" w:rsidRPr="3503D8AB">
              <w:t xml:space="preserve">Learning outcomes provide flexibility to take account of </w:t>
            </w:r>
            <w:r w:rsidR="0B189481" w:rsidRPr="3503D8AB">
              <w:t>protected</w:t>
            </w:r>
            <w:r w:rsidR="7D1A9823" w:rsidRPr="3503D8AB">
              <w:t xml:space="preserve"> </w:t>
            </w:r>
            <w:r w:rsidR="3C9D1B4B" w:rsidRPr="3503D8AB">
              <w:t>characteristics</w:t>
            </w:r>
            <w:r w:rsidR="7D1A9823" w:rsidRPr="3503D8AB">
              <w:t xml:space="preserve"> where </w:t>
            </w:r>
            <w:r w:rsidR="6BCF0EF0" w:rsidRPr="3503D8AB">
              <w:t>relevant.</w:t>
            </w:r>
          </w:p>
        </w:tc>
        <w:tc>
          <w:tcPr>
            <w:tcW w:w="7229" w:type="dxa"/>
          </w:tcPr>
          <w:p w14:paraId="72CD1C42" w14:textId="4051EA6D" w:rsidR="00C11F4F" w:rsidRPr="00E2182B" w:rsidRDefault="2BC621E8" w:rsidP="00E2182B">
            <w:pPr>
              <w:pStyle w:val="TableParagraph"/>
              <w:spacing w:line="360" w:lineRule="auto"/>
            </w:pPr>
            <w:r>
              <w:t xml:space="preserve"> Where an opportunity presents itself, learning outcomes should include aspects relating to any of the protected characteristics.</w:t>
            </w:r>
          </w:p>
        </w:tc>
      </w:tr>
      <w:tr w:rsidR="00C11F4F" w:rsidRPr="00E2182B" w14:paraId="67414AD0" w14:textId="77777777" w:rsidTr="007942E4">
        <w:trPr>
          <w:trHeight w:val="1338"/>
        </w:trPr>
        <w:tc>
          <w:tcPr>
            <w:tcW w:w="3261" w:type="dxa"/>
          </w:tcPr>
          <w:p w14:paraId="4B6C980C" w14:textId="77777777" w:rsidR="00C11F4F" w:rsidRPr="00E2182B" w:rsidRDefault="00C11F4F" w:rsidP="00E2182B">
            <w:pPr>
              <w:pStyle w:val="TableParagraph"/>
              <w:spacing w:line="360" w:lineRule="auto"/>
              <w:ind w:left="278" w:hanging="173"/>
            </w:pPr>
            <w:r w:rsidRPr="00E2182B">
              <w:t>3. Curriculum content reflects an appropriate range of cultural perspectives.</w:t>
            </w:r>
          </w:p>
        </w:tc>
        <w:tc>
          <w:tcPr>
            <w:tcW w:w="7229" w:type="dxa"/>
          </w:tcPr>
          <w:p w14:paraId="2011D5BC" w14:textId="77777777" w:rsidR="00C11F4F" w:rsidRPr="00E2182B" w:rsidRDefault="00C11F4F" w:rsidP="00E2182B">
            <w:pPr>
              <w:pStyle w:val="TableParagraph"/>
              <w:spacing w:line="360" w:lineRule="auto"/>
              <w:ind w:right="142"/>
            </w:pPr>
            <w:r w:rsidRPr="00E2182B">
              <w:t>The learning materials should embrace cultural diversity and encourage the exchange of knowledge through inclusive examples and language. The content should acknowledge and celebrate the contribution of people from all backgrounds, religions/beliefs, cultures and ages.</w:t>
            </w:r>
          </w:p>
        </w:tc>
      </w:tr>
      <w:tr w:rsidR="00C11F4F" w:rsidRPr="00E2182B" w14:paraId="319A95F1" w14:textId="77777777" w:rsidTr="007942E4">
        <w:trPr>
          <w:trHeight w:val="1711"/>
        </w:trPr>
        <w:tc>
          <w:tcPr>
            <w:tcW w:w="3261" w:type="dxa"/>
          </w:tcPr>
          <w:p w14:paraId="4EDFEC45" w14:textId="77777777" w:rsidR="00C11F4F" w:rsidRPr="00E2182B" w:rsidRDefault="00C11F4F" w:rsidP="00E2182B">
            <w:pPr>
              <w:pStyle w:val="TableParagraph"/>
              <w:spacing w:before="1" w:line="360" w:lineRule="auto"/>
              <w:ind w:left="278" w:hanging="173"/>
            </w:pPr>
            <w:r w:rsidRPr="00E2182B">
              <w:t>4. An appropriate range of teaching approaches is used.</w:t>
            </w:r>
          </w:p>
        </w:tc>
        <w:tc>
          <w:tcPr>
            <w:tcW w:w="7229" w:type="dxa"/>
          </w:tcPr>
          <w:p w14:paraId="7F7803AE" w14:textId="77777777" w:rsidR="00C11F4F" w:rsidRPr="00E2182B" w:rsidRDefault="00C11F4F" w:rsidP="00E2182B">
            <w:pPr>
              <w:pStyle w:val="TableParagraph"/>
              <w:spacing w:before="1" w:line="360" w:lineRule="auto"/>
              <w:ind w:right="242"/>
            </w:pPr>
            <w:r w:rsidRPr="00E2182B">
              <w:t>There should be suitable flexibility in curriculum delivery (including timetabling) and student choice. Methods of teaching should accommodate and value a variety of learning preferences and experiences. Mechanisms should be in place for anticipating and making reasonable adjustments to teaching and assessment methods, including fieldwork and work placements, to enable</w:t>
            </w:r>
          </w:p>
          <w:p w14:paraId="3A322AA4" w14:textId="688AA06B" w:rsidR="00C11F4F" w:rsidRPr="00E2182B" w:rsidRDefault="00C11F4F" w:rsidP="00E2182B">
            <w:pPr>
              <w:pStyle w:val="TableParagraph"/>
              <w:spacing w:line="360" w:lineRule="auto"/>
            </w:pPr>
            <w:r w:rsidRPr="00E2182B">
              <w:t>students to achieve the intended learning outcomes through</w:t>
            </w:r>
            <w:r w:rsidR="00E2182B" w:rsidRPr="00E2182B">
              <w:t xml:space="preserve"> alternative routes where appropriate.</w:t>
            </w:r>
          </w:p>
        </w:tc>
      </w:tr>
      <w:tr w:rsidR="00E2182B" w:rsidRPr="00E2182B" w14:paraId="640C15E6" w14:textId="77777777" w:rsidTr="007942E4">
        <w:trPr>
          <w:trHeight w:val="410"/>
        </w:trPr>
        <w:tc>
          <w:tcPr>
            <w:tcW w:w="3261" w:type="dxa"/>
          </w:tcPr>
          <w:p w14:paraId="3273773F" w14:textId="217E05E3" w:rsidR="00E2182B" w:rsidRPr="00E2182B" w:rsidRDefault="00E2182B" w:rsidP="00E2182B">
            <w:pPr>
              <w:pStyle w:val="TableParagraph"/>
              <w:spacing w:before="1" w:line="360" w:lineRule="auto"/>
              <w:ind w:left="278" w:hanging="173"/>
            </w:pPr>
            <w:r w:rsidRPr="00E2182B">
              <w:t>5. Strategies are in place to engage all students in class activities and to allow the student body to integrate with one another.</w:t>
            </w:r>
          </w:p>
        </w:tc>
        <w:tc>
          <w:tcPr>
            <w:tcW w:w="7229" w:type="dxa"/>
          </w:tcPr>
          <w:p w14:paraId="7AB4A70F" w14:textId="77777777" w:rsidR="00E2182B" w:rsidRPr="00E2182B" w:rsidRDefault="00E2182B" w:rsidP="00E2182B">
            <w:pPr>
              <w:pStyle w:val="TableParagraph"/>
              <w:spacing w:line="360" w:lineRule="auto"/>
            </w:pPr>
            <w:r w:rsidRPr="00E2182B">
              <w:t>For example:</w:t>
            </w:r>
          </w:p>
          <w:p w14:paraId="7F79E33B" w14:textId="77777777" w:rsidR="00E2182B" w:rsidRPr="00E2182B" w:rsidRDefault="00E2182B" w:rsidP="00E2182B">
            <w:pPr>
              <w:pStyle w:val="TableParagraph"/>
              <w:numPr>
                <w:ilvl w:val="0"/>
                <w:numId w:val="5"/>
              </w:numPr>
              <w:tabs>
                <w:tab w:val="left" w:pos="358"/>
              </w:tabs>
              <w:spacing w:before="122" w:line="360" w:lineRule="auto"/>
              <w:ind w:right="264"/>
            </w:pPr>
            <w:r w:rsidRPr="00E2182B">
              <w:t>the organisation of group work should be sensitive to the</w:t>
            </w:r>
            <w:r w:rsidRPr="00E2182B">
              <w:rPr>
                <w:spacing w:val="-26"/>
              </w:rPr>
              <w:t xml:space="preserve"> </w:t>
            </w:r>
            <w:r w:rsidRPr="00E2182B">
              <w:t>needs of all groups within the student body, recognising different gender and cultural styles of</w:t>
            </w:r>
            <w:r w:rsidRPr="00E2182B">
              <w:rPr>
                <w:spacing w:val="-3"/>
              </w:rPr>
              <w:t xml:space="preserve"> </w:t>
            </w:r>
            <w:r w:rsidRPr="00E2182B">
              <w:t>working.</w:t>
            </w:r>
          </w:p>
          <w:p w14:paraId="020F4726" w14:textId="77777777" w:rsidR="00E2182B" w:rsidRPr="00E2182B" w:rsidRDefault="00E2182B" w:rsidP="00E2182B">
            <w:pPr>
              <w:pStyle w:val="TableParagraph"/>
              <w:numPr>
                <w:ilvl w:val="0"/>
                <w:numId w:val="5"/>
              </w:numPr>
              <w:tabs>
                <w:tab w:val="left" w:pos="358"/>
              </w:tabs>
              <w:spacing w:before="118" w:line="360" w:lineRule="auto"/>
              <w:ind w:right="186"/>
            </w:pPr>
            <w:r w:rsidRPr="00E2182B">
              <w:t>cohorts of students from specific cultural backgrounds should</w:t>
            </w:r>
            <w:r w:rsidRPr="00E2182B">
              <w:rPr>
                <w:spacing w:val="-21"/>
              </w:rPr>
              <w:t xml:space="preserve"> </w:t>
            </w:r>
            <w:r w:rsidRPr="00E2182B">
              <w:t>be encouraged to</w:t>
            </w:r>
            <w:r w:rsidRPr="00E2182B">
              <w:rPr>
                <w:spacing w:val="-1"/>
              </w:rPr>
              <w:t xml:space="preserve"> </w:t>
            </w:r>
            <w:r w:rsidRPr="00E2182B">
              <w:t>mix.</w:t>
            </w:r>
          </w:p>
          <w:p w14:paraId="12B27A57" w14:textId="1F2921E6" w:rsidR="00E2182B" w:rsidRPr="00E2182B" w:rsidRDefault="00E2182B" w:rsidP="00E2182B">
            <w:pPr>
              <w:pStyle w:val="TableParagraph"/>
              <w:spacing w:before="1" w:line="360" w:lineRule="auto"/>
              <w:ind w:right="242"/>
            </w:pPr>
            <w:r w:rsidRPr="00E2182B">
              <w:t xml:space="preserve">Discriminatory behaviour and comments should be challenged, whether the source is students, other staff, books or other learning materials. Students might be asked to identify and discuss such behaviour as part of their </w:t>
            </w:r>
            <w:r w:rsidRPr="00E2182B">
              <w:lastRenderedPageBreak/>
              <w:t>learning and assessment.</w:t>
            </w:r>
          </w:p>
        </w:tc>
      </w:tr>
      <w:tr w:rsidR="00E2182B" w:rsidRPr="00E2182B" w14:paraId="63888BB7" w14:textId="77777777" w:rsidTr="007942E4">
        <w:trPr>
          <w:trHeight w:val="1711"/>
        </w:trPr>
        <w:tc>
          <w:tcPr>
            <w:tcW w:w="3261" w:type="dxa"/>
          </w:tcPr>
          <w:p w14:paraId="1256EEDB" w14:textId="5BD26FB1" w:rsidR="00E2182B" w:rsidRPr="00E2182B" w:rsidRDefault="00E2182B" w:rsidP="00E2182B">
            <w:pPr>
              <w:pStyle w:val="TableParagraph"/>
              <w:spacing w:before="1" w:line="360" w:lineRule="auto"/>
              <w:ind w:left="278" w:hanging="173"/>
            </w:pPr>
            <w:r>
              <w:lastRenderedPageBreak/>
              <w:t xml:space="preserve">6. Assessment methods take account of </w:t>
            </w:r>
            <w:r w:rsidR="4C1375D6">
              <w:t>different student needs</w:t>
            </w:r>
          </w:p>
        </w:tc>
        <w:tc>
          <w:tcPr>
            <w:tcW w:w="7229" w:type="dxa"/>
          </w:tcPr>
          <w:p w14:paraId="3C09DE70" w14:textId="77777777" w:rsidR="00E2182B" w:rsidRPr="00E2182B" w:rsidRDefault="00E2182B" w:rsidP="00E2182B">
            <w:pPr>
              <w:pStyle w:val="TableParagraph"/>
              <w:spacing w:line="360" w:lineRule="auto"/>
            </w:pPr>
            <w:r w:rsidRPr="00E2182B">
              <w:t>Assessment methods should accommodate and value a variety of learning preferences and experiences. For example:</w:t>
            </w:r>
          </w:p>
          <w:p w14:paraId="61A732CC" w14:textId="77777777" w:rsidR="00E2182B" w:rsidRPr="00E2182B" w:rsidRDefault="00E2182B" w:rsidP="00E2182B">
            <w:pPr>
              <w:pStyle w:val="TableParagraph"/>
              <w:numPr>
                <w:ilvl w:val="0"/>
                <w:numId w:val="4"/>
              </w:numPr>
              <w:tabs>
                <w:tab w:val="left" w:pos="358"/>
              </w:tabs>
              <w:spacing w:before="119" w:line="360" w:lineRule="auto"/>
              <w:ind w:right="247"/>
            </w:pPr>
            <w:r w:rsidRPr="00E2182B">
              <w:t>assessment materials may need to be adjusted for learners</w:t>
            </w:r>
            <w:r w:rsidRPr="00E2182B">
              <w:rPr>
                <w:spacing w:val="-24"/>
              </w:rPr>
              <w:t xml:space="preserve"> </w:t>
            </w:r>
            <w:r w:rsidRPr="00E2182B">
              <w:t>with disabilities</w:t>
            </w:r>
          </w:p>
          <w:p w14:paraId="66549A38" w14:textId="77777777" w:rsidR="00E2182B" w:rsidRPr="00E2182B" w:rsidRDefault="00E2182B" w:rsidP="00E2182B">
            <w:pPr>
              <w:pStyle w:val="TableParagraph"/>
              <w:numPr>
                <w:ilvl w:val="0"/>
                <w:numId w:val="4"/>
              </w:numPr>
              <w:tabs>
                <w:tab w:val="left" w:pos="358"/>
              </w:tabs>
              <w:spacing w:before="120" w:line="360" w:lineRule="auto"/>
            </w:pPr>
            <w:r w:rsidRPr="00E2182B">
              <w:t>assessed activities should enable all learners to give</w:t>
            </w:r>
            <w:r w:rsidRPr="00E2182B">
              <w:rPr>
                <w:spacing w:val="-18"/>
              </w:rPr>
              <w:t xml:space="preserve"> </w:t>
            </w:r>
            <w:r w:rsidRPr="00E2182B">
              <w:t>responses</w:t>
            </w:r>
          </w:p>
          <w:p w14:paraId="03864B5D" w14:textId="77777777" w:rsidR="00E2182B" w:rsidRPr="00E2182B" w:rsidRDefault="00E2182B" w:rsidP="00E2182B">
            <w:pPr>
              <w:pStyle w:val="TableParagraph"/>
              <w:numPr>
                <w:ilvl w:val="0"/>
                <w:numId w:val="4"/>
              </w:numPr>
              <w:tabs>
                <w:tab w:val="left" w:pos="358"/>
              </w:tabs>
              <w:spacing w:before="120" w:line="360" w:lineRule="auto"/>
              <w:ind w:right="839"/>
            </w:pPr>
            <w:r w:rsidRPr="00E2182B">
              <w:t>questioning techniques should be sensitive to learners’ background, levels of ability, motivation and</w:t>
            </w:r>
            <w:r w:rsidRPr="00E2182B">
              <w:rPr>
                <w:spacing w:val="-21"/>
              </w:rPr>
              <w:t xml:space="preserve"> </w:t>
            </w:r>
            <w:r w:rsidRPr="00E2182B">
              <w:t>personality.</w:t>
            </w:r>
          </w:p>
          <w:p w14:paraId="0917342F" w14:textId="681F196E" w:rsidR="00E2182B" w:rsidRPr="00E2182B" w:rsidRDefault="3CACAD47" w:rsidP="3503D8AB">
            <w:pPr>
              <w:pStyle w:val="TableParagraph"/>
              <w:numPr>
                <w:ilvl w:val="0"/>
                <w:numId w:val="4"/>
              </w:numPr>
              <w:tabs>
                <w:tab w:val="left" w:pos="358"/>
              </w:tabs>
              <w:spacing w:before="120" w:line="360" w:lineRule="auto"/>
              <w:ind w:right="839"/>
            </w:pPr>
            <w:r w:rsidRPr="3503D8AB">
              <w:t>Assessed activities should consider diversity and personal circumstances of the audience, including  disability, geogra</w:t>
            </w:r>
            <w:r w:rsidR="364616E3" w:rsidRPr="3503D8AB">
              <w:t xml:space="preserve">phic location, socio economic challenges and  </w:t>
            </w:r>
            <w:r w:rsidR="544BA7C7" w:rsidRPr="3503D8AB">
              <w:t>communication</w:t>
            </w:r>
            <w:r w:rsidR="364616E3" w:rsidRPr="3503D8AB">
              <w:t xml:space="preserve"> st</w:t>
            </w:r>
            <w:r w:rsidR="16E1AA2A" w:rsidRPr="3503D8AB">
              <w:t>yles</w:t>
            </w:r>
          </w:p>
          <w:p w14:paraId="4DED436F" w14:textId="77777777" w:rsidR="00E2182B" w:rsidRPr="00E2182B" w:rsidRDefault="00E2182B" w:rsidP="00E2182B">
            <w:pPr>
              <w:pStyle w:val="TableParagraph"/>
              <w:spacing w:before="119" w:line="360" w:lineRule="auto"/>
            </w:pPr>
            <w:r w:rsidRPr="00E2182B">
              <w:t>Timetabling of teaching and assessment should take account of</w:t>
            </w:r>
          </w:p>
          <w:p w14:paraId="2C160347" w14:textId="0A00DC22" w:rsidR="00E2182B" w:rsidRPr="00E2182B" w:rsidRDefault="00E2182B" w:rsidP="00E2182B">
            <w:pPr>
              <w:pStyle w:val="TableParagraph"/>
              <w:spacing w:line="360" w:lineRule="auto"/>
            </w:pPr>
            <w:r>
              <w:t>students’ cultural and religious beliefs</w:t>
            </w:r>
            <w:r w:rsidR="449B0AA9">
              <w:t xml:space="preserve">, their geographic location,  any socio economic challenges </w:t>
            </w:r>
            <w:r>
              <w:t xml:space="preserve"> and how they might impact on their attendance patterns and/or their needs for resources.</w:t>
            </w:r>
          </w:p>
        </w:tc>
      </w:tr>
      <w:tr w:rsidR="00E2182B" w:rsidRPr="00E2182B" w14:paraId="13F68167" w14:textId="77777777" w:rsidTr="007942E4">
        <w:trPr>
          <w:trHeight w:val="1711"/>
        </w:trPr>
        <w:tc>
          <w:tcPr>
            <w:tcW w:w="3261" w:type="dxa"/>
          </w:tcPr>
          <w:p w14:paraId="7E775C34" w14:textId="1F04687F" w:rsidR="00E2182B" w:rsidRPr="00E2182B" w:rsidRDefault="00E2182B" w:rsidP="00E2182B">
            <w:pPr>
              <w:pStyle w:val="TableParagraph"/>
              <w:spacing w:before="1" w:line="360" w:lineRule="auto"/>
              <w:ind w:left="278" w:hanging="173"/>
            </w:pPr>
            <w:r w:rsidRPr="00E2182B">
              <w:t>7. Feedback given to students on their work is sensitive to the</w:t>
            </w:r>
            <w:r w:rsidRPr="00E2182B">
              <w:rPr>
                <w:spacing w:val="-13"/>
              </w:rPr>
              <w:t xml:space="preserve"> </w:t>
            </w:r>
            <w:r w:rsidRPr="00E2182B">
              <w:t>need to maintain the dignity of the individual.</w:t>
            </w:r>
          </w:p>
        </w:tc>
        <w:tc>
          <w:tcPr>
            <w:tcW w:w="7229" w:type="dxa"/>
          </w:tcPr>
          <w:p w14:paraId="441926E9" w14:textId="07299C0B" w:rsidR="00E2182B" w:rsidRPr="00E2182B" w:rsidRDefault="00E2182B" w:rsidP="00E2182B">
            <w:pPr>
              <w:pStyle w:val="TableParagraph"/>
              <w:spacing w:line="360" w:lineRule="auto"/>
            </w:pPr>
            <w:r w:rsidRPr="00E2182B">
              <w:t>For example, critical feedback given in a group context is handled sensitively to sustain the individual’s self-respect and confidence.</w:t>
            </w:r>
          </w:p>
        </w:tc>
      </w:tr>
      <w:tr w:rsidR="00E2182B" w:rsidRPr="00E2182B" w14:paraId="7F614CEC" w14:textId="77777777" w:rsidTr="007942E4">
        <w:trPr>
          <w:trHeight w:val="1711"/>
        </w:trPr>
        <w:tc>
          <w:tcPr>
            <w:tcW w:w="3261" w:type="dxa"/>
          </w:tcPr>
          <w:p w14:paraId="7DEAA868" w14:textId="17B207E6" w:rsidR="00E2182B" w:rsidRPr="00E2182B" w:rsidRDefault="00E2182B">
            <w:pPr>
              <w:pStyle w:val="TableParagraph"/>
              <w:spacing w:before="1" w:line="360" w:lineRule="auto"/>
              <w:ind w:left="278" w:hanging="173"/>
            </w:pPr>
            <w:r w:rsidRPr="00E2182B">
              <w:t xml:space="preserve">8. Where used, placements, internships and periods of learning abroad have been scrutinised in relation to equality and diversity issues. See: </w:t>
            </w:r>
          </w:p>
          <w:p w14:paraId="726497C4" w14:textId="4983761F" w:rsidR="00E2182B" w:rsidRPr="00AA7A3A" w:rsidRDefault="00D03E1C" w:rsidP="00AA7A3A">
            <w:pPr>
              <w:pStyle w:val="TableParagraph"/>
              <w:spacing w:before="1" w:line="360" w:lineRule="auto"/>
              <w:ind w:left="278" w:hanging="173"/>
              <w:rPr>
                <w:rFonts w:ascii="Segoe UI" w:eastAsia="Segoe UI" w:hAnsi="Segoe UI" w:cs="Segoe UI"/>
                <w:color w:val="000000" w:themeColor="text1"/>
                <w:sz w:val="18"/>
                <w:szCs w:val="18"/>
              </w:rPr>
            </w:pPr>
            <w:hyperlink r:id="rId11" w:history="1">
              <w:r w:rsidR="00AA7A3A" w:rsidRPr="00D13A82">
                <w:rPr>
                  <w:rStyle w:val="Hyperlink"/>
                  <w:rFonts w:ascii="Segoe UI" w:eastAsia="Segoe UI" w:hAnsi="Segoe UI" w:cs="Segoe UI"/>
                  <w:sz w:val="18"/>
                  <w:szCs w:val="18"/>
                </w:rPr>
                <w:t>https://www.dundee.ac.uk/disabilityservices/resources/guidance/</w:t>
              </w:r>
            </w:hyperlink>
            <w:r w:rsidR="00AA7A3A">
              <w:rPr>
                <w:rFonts w:ascii="Segoe UI" w:eastAsia="Segoe UI" w:hAnsi="Segoe UI" w:cs="Segoe UI"/>
                <w:color w:val="000000" w:themeColor="text1"/>
                <w:sz w:val="18"/>
                <w:szCs w:val="18"/>
              </w:rPr>
              <w:t xml:space="preserve"> </w:t>
            </w:r>
          </w:p>
        </w:tc>
        <w:tc>
          <w:tcPr>
            <w:tcW w:w="7229" w:type="dxa"/>
          </w:tcPr>
          <w:p w14:paraId="37B20B1C" w14:textId="77777777" w:rsidR="00E2182B" w:rsidRPr="00E2182B" w:rsidRDefault="00E2182B" w:rsidP="00E2182B">
            <w:pPr>
              <w:pStyle w:val="TableParagraph"/>
              <w:spacing w:line="360" w:lineRule="auto"/>
            </w:pPr>
            <w:r w:rsidRPr="00E2182B">
              <w:t>For example:</w:t>
            </w:r>
          </w:p>
          <w:p w14:paraId="4460F475" w14:textId="77777777" w:rsidR="00E2182B" w:rsidRPr="00E2182B" w:rsidRDefault="00E2182B" w:rsidP="00E2182B">
            <w:pPr>
              <w:pStyle w:val="TableParagraph"/>
              <w:numPr>
                <w:ilvl w:val="0"/>
                <w:numId w:val="3"/>
              </w:numPr>
              <w:tabs>
                <w:tab w:val="left" w:pos="358"/>
              </w:tabs>
              <w:spacing w:before="122" w:line="360" w:lineRule="auto"/>
              <w:ind w:right="170"/>
            </w:pPr>
            <w:r w:rsidRPr="00E2182B">
              <w:t>where particular students are unable to participate in an</w:t>
            </w:r>
            <w:r w:rsidRPr="00E2182B">
              <w:rPr>
                <w:spacing w:val="-24"/>
              </w:rPr>
              <w:t xml:space="preserve"> </w:t>
            </w:r>
            <w:r w:rsidRPr="00E2182B">
              <w:t>activity, have appropriate alternative arrangements been</w:t>
            </w:r>
            <w:r w:rsidRPr="00E2182B">
              <w:rPr>
                <w:spacing w:val="-7"/>
              </w:rPr>
              <w:t xml:space="preserve"> </w:t>
            </w:r>
            <w:r w:rsidRPr="00E2182B">
              <w:t>made?</w:t>
            </w:r>
          </w:p>
          <w:p w14:paraId="568F0AB0" w14:textId="77777777" w:rsidR="00E2182B" w:rsidRPr="00E2182B" w:rsidRDefault="00E2182B" w:rsidP="00E2182B">
            <w:pPr>
              <w:pStyle w:val="TableParagraph"/>
              <w:numPr>
                <w:ilvl w:val="0"/>
                <w:numId w:val="3"/>
              </w:numPr>
              <w:tabs>
                <w:tab w:val="left" w:pos="358"/>
              </w:tabs>
              <w:spacing w:before="120" w:line="360" w:lineRule="auto"/>
              <w:ind w:right="406"/>
            </w:pPr>
            <w:r w:rsidRPr="00E2182B">
              <w:t>What training or guidance is given to non-University staff</w:t>
            </w:r>
            <w:r w:rsidRPr="00E2182B">
              <w:rPr>
                <w:spacing w:val="-23"/>
              </w:rPr>
              <w:t xml:space="preserve"> </w:t>
            </w:r>
            <w:r w:rsidRPr="00E2182B">
              <w:t>who may come in contact with</w:t>
            </w:r>
            <w:r w:rsidRPr="00E2182B">
              <w:rPr>
                <w:spacing w:val="1"/>
              </w:rPr>
              <w:t xml:space="preserve"> </w:t>
            </w:r>
            <w:r w:rsidRPr="00E2182B">
              <w:t>students?</w:t>
            </w:r>
          </w:p>
          <w:p w14:paraId="4899E824" w14:textId="77777777" w:rsidR="00E2182B" w:rsidRPr="00E2182B" w:rsidRDefault="00E2182B" w:rsidP="00E2182B">
            <w:pPr>
              <w:pStyle w:val="TableParagraph"/>
              <w:numPr>
                <w:ilvl w:val="0"/>
                <w:numId w:val="3"/>
              </w:numPr>
              <w:tabs>
                <w:tab w:val="left" w:pos="358"/>
              </w:tabs>
              <w:spacing w:before="118" w:line="360" w:lineRule="auto"/>
              <w:ind w:right="190"/>
            </w:pPr>
            <w:r w:rsidRPr="00E2182B">
              <w:t>Has consideration been given to obtaining consent for</w:t>
            </w:r>
            <w:r w:rsidRPr="00E2182B">
              <w:rPr>
                <w:spacing w:val="-28"/>
              </w:rPr>
              <w:t xml:space="preserve"> </w:t>
            </w:r>
            <w:r w:rsidRPr="00E2182B">
              <w:t>disclosure of students’ disabilities to placement</w:t>
            </w:r>
            <w:r w:rsidRPr="00E2182B">
              <w:rPr>
                <w:spacing w:val="-7"/>
              </w:rPr>
              <w:t xml:space="preserve"> </w:t>
            </w:r>
            <w:r w:rsidRPr="00E2182B">
              <w:t>providers?</w:t>
            </w:r>
          </w:p>
          <w:p w14:paraId="0D340B96" w14:textId="6683637D" w:rsidR="61DBEAE7" w:rsidRDefault="61DBEAE7" w:rsidP="3503D8AB">
            <w:pPr>
              <w:pStyle w:val="TableParagraph"/>
              <w:numPr>
                <w:ilvl w:val="0"/>
                <w:numId w:val="3"/>
              </w:numPr>
              <w:tabs>
                <w:tab w:val="left" w:pos="358"/>
              </w:tabs>
              <w:spacing w:before="118" w:line="360" w:lineRule="auto"/>
              <w:ind w:right="190"/>
            </w:pPr>
            <w:r w:rsidRPr="3503D8AB">
              <w:t>Has a risk assessment been carried out in relation to appropriateness of the placement?</w:t>
            </w:r>
          </w:p>
          <w:p w14:paraId="181F2F2B" w14:textId="536B7DA0" w:rsidR="00E2182B" w:rsidRPr="00E2182B" w:rsidRDefault="00E2182B" w:rsidP="00E2182B">
            <w:pPr>
              <w:pStyle w:val="TableParagraph"/>
              <w:spacing w:line="360" w:lineRule="auto"/>
            </w:pPr>
            <w:r w:rsidRPr="00E2182B">
              <w:t>Have adjustments for placement setting been identified and responsibility for implementation (and funding where</w:t>
            </w:r>
            <w:r w:rsidRPr="00E2182B">
              <w:rPr>
                <w:spacing w:val="-26"/>
              </w:rPr>
              <w:t xml:space="preserve"> </w:t>
            </w:r>
            <w:r w:rsidRPr="00E2182B">
              <w:t>required) been</w:t>
            </w:r>
            <w:r w:rsidRPr="00E2182B">
              <w:rPr>
                <w:spacing w:val="-1"/>
              </w:rPr>
              <w:t xml:space="preserve"> </w:t>
            </w:r>
            <w:r w:rsidRPr="00E2182B">
              <w:t>agreed?</w:t>
            </w:r>
          </w:p>
        </w:tc>
      </w:tr>
    </w:tbl>
    <w:p w14:paraId="429B9384" w14:textId="77777777" w:rsidR="00C11F4F" w:rsidRPr="007549DD" w:rsidRDefault="00C11F4F" w:rsidP="00091725">
      <w:pPr>
        <w:rPr>
          <w:rFonts w:asciiTheme="minorHAnsi" w:hAnsiTheme="minorHAnsi"/>
        </w:rPr>
      </w:pPr>
    </w:p>
    <w:sectPr w:rsidR="00C11F4F" w:rsidRPr="007549DD" w:rsidSect="00BE661A">
      <w:headerReference w:type="default" r:id="rId12"/>
      <w:footerReference w:type="even" r:id="rId13"/>
      <w:footerReference w:type="default" r:id="rId14"/>
      <w:headerReference w:type="first" r:id="rId15"/>
      <w:pgSz w:w="11907" w:h="16840" w:code="9"/>
      <w:pgMar w:top="1440" w:right="1440" w:bottom="1440" w:left="1440" w:header="720" w:footer="72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29AD9" w14:textId="77777777" w:rsidR="004F5C36" w:rsidRDefault="004F5C36">
      <w:r>
        <w:separator/>
      </w:r>
    </w:p>
  </w:endnote>
  <w:endnote w:type="continuationSeparator" w:id="0">
    <w:p w14:paraId="33C1EB77" w14:textId="77777777" w:rsidR="004F5C36" w:rsidRDefault="004F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9B6E" w14:textId="77777777" w:rsidR="00BE4409" w:rsidRDefault="00BE4409" w:rsidP="00B064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1DB2BD" w14:textId="77777777" w:rsidR="00BE4409" w:rsidRDefault="00BE4409" w:rsidP="00BE4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348642"/>
      <w:docPartObj>
        <w:docPartGallery w:val="Page Numbers (Bottom of Page)"/>
        <w:docPartUnique/>
      </w:docPartObj>
    </w:sdtPr>
    <w:sdtEndPr/>
    <w:sdtContent>
      <w:sdt>
        <w:sdtPr>
          <w:id w:val="-1769616900"/>
          <w:docPartObj>
            <w:docPartGallery w:val="Page Numbers (Top of Page)"/>
            <w:docPartUnique/>
          </w:docPartObj>
        </w:sdtPr>
        <w:sdtEndPr/>
        <w:sdtContent>
          <w:p w14:paraId="57DABFCB" w14:textId="60F35321" w:rsidR="00AA7A3A" w:rsidRDefault="00AA7A3A">
            <w:pPr>
              <w:pStyle w:val="Footer"/>
              <w:jc w:val="right"/>
            </w:pPr>
            <w:r w:rsidRPr="00AA7A3A">
              <w:rPr>
                <w:rFonts w:asciiTheme="minorHAnsi" w:hAnsiTheme="minorHAnsi" w:cstheme="minorHAnsi"/>
                <w:sz w:val="18"/>
                <w:szCs w:val="18"/>
              </w:rPr>
              <w:t xml:space="preserve">Page </w:t>
            </w:r>
            <w:r w:rsidRPr="00AA7A3A">
              <w:rPr>
                <w:rFonts w:asciiTheme="minorHAnsi" w:hAnsiTheme="minorHAnsi" w:cstheme="minorHAnsi"/>
                <w:b/>
                <w:bCs/>
                <w:sz w:val="18"/>
                <w:szCs w:val="18"/>
              </w:rPr>
              <w:fldChar w:fldCharType="begin"/>
            </w:r>
            <w:r w:rsidRPr="00AA7A3A">
              <w:rPr>
                <w:rFonts w:asciiTheme="minorHAnsi" w:hAnsiTheme="minorHAnsi" w:cstheme="minorHAnsi"/>
                <w:b/>
                <w:bCs/>
                <w:sz w:val="18"/>
                <w:szCs w:val="18"/>
              </w:rPr>
              <w:instrText xml:space="preserve"> PAGE </w:instrText>
            </w:r>
            <w:r w:rsidRPr="00AA7A3A">
              <w:rPr>
                <w:rFonts w:asciiTheme="minorHAnsi" w:hAnsiTheme="minorHAnsi" w:cstheme="minorHAnsi"/>
                <w:b/>
                <w:bCs/>
                <w:sz w:val="18"/>
                <w:szCs w:val="18"/>
              </w:rPr>
              <w:fldChar w:fldCharType="separate"/>
            </w:r>
            <w:r w:rsidRPr="00AA7A3A">
              <w:rPr>
                <w:rFonts w:asciiTheme="minorHAnsi" w:hAnsiTheme="minorHAnsi" w:cstheme="minorHAnsi"/>
                <w:b/>
                <w:bCs/>
                <w:noProof/>
                <w:sz w:val="18"/>
                <w:szCs w:val="18"/>
              </w:rPr>
              <w:t>2</w:t>
            </w:r>
            <w:r w:rsidRPr="00AA7A3A">
              <w:rPr>
                <w:rFonts w:asciiTheme="minorHAnsi" w:hAnsiTheme="minorHAnsi" w:cstheme="minorHAnsi"/>
                <w:b/>
                <w:bCs/>
                <w:sz w:val="18"/>
                <w:szCs w:val="18"/>
              </w:rPr>
              <w:fldChar w:fldCharType="end"/>
            </w:r>
            <w:r w:rsidRPr="00AA7A3A">
              <w:rPr>
                <w:rFonts w:asciiTheme="minorHAnsi" w:hAnsiTheme="minorHAnsi" w:cstheme="minorHAnsi"/>
                <w:sz w:val="18"/>
                <w:szCs w:val="18"/>
              </w:rPr>
              <w:t xml:space="preserve"> of </w:t>
            </w:r>
            <w:r w:rsidRPr="00AA7A3A">
              <w:rPr>
                <w:rFonts w:asciiTheme="minorHAnsi" w:hAnsiTheme="minorHAnsi" w:cstheme="minorHAnsi"/>
                <w:b/>
                <w:bCs/>
                <w:sz w:val="18"/>
                <w:szCs w:val="18"/>
              </w:rPr>
              <w:fldChar w:fldCharType="begin"/>
            </w:r>
            <w:r w:rsidRPr="00AA7A3A">
              <w:rPr>
                <w:rFonts w:asciiTheme="minorHAnsi" w:hAnsiTheme="minorHAnsi" w:cstheme="minorHAnsi"/>
                <w:b/>
                <w:bCs/>
                <w:sz w:val="18"/>
                <w:szCs w:val="18"/>
              </w:rPr>
              <w:instrText xml:space="preserve"> NUMPAGES  </w:instrText>
            </w:r>
            <w:r w:rsidRPr="00AA7A3A">
              <w:rPr>
                <w:rFonts w:asciiTheme="minorHAnsi" w:hAnsiTheme="minorHAnsi" w:cstheme="minorHAnsi"/>
                <w:b/>
                <w:bCs/>
                <w:sz w:val="18"/>
                <w:szCs w:val="18"/>
              </w:rPr>
              <w:fldChar w:fldCharType="separate"/>
            </w:r>
            <w:r w:rsidRPr="00AA7A3A">
              <w:rPr>
                <w:rFonts w:asciiTheme="minorHAnsi" w:hAnsiTheme="minorHAnsi" w:cstheme="minorHAnsi"/>
                <w:b/>
                <w:bCs/>
                <w:noProof/>
                <w:sz w:val="18"/>
                <w:szCs w:val="18"/>
              </w:rPr>
              <w:t>2</w:t>
            </w:r>
            <w:r w:rsidRPr="00AA7A3A">
              <w:rPr>
                <w:rFonts w:asciiTheme="minorHAnsi" w:hAnsiTheme="minorHAnsi" w:cstheme="minorHAnsi"/>
                <w:b/>
                <w:bCs/>
                <w:sz w:val="18"/>
                <w:szCs w:val="18"/>
              </w:rPr>
              <w:fldChar w:fldCharType="end"/>
            </w:r>
          </w:p>
        </w:sdtContent>
      </w:sdt>
    </w:sdtContent>
  </w:sdt>
  <w:p w14:paraId="18314B36" w14:textId="525CF3D2" w:rsidR="00BE4409" w:rsidRPr="007942E4" w:rsidRDefault="007942E4" w:rsidP="00BE4409">
    <w:pPr>
      <w:pStyle w:val="Footer"/>
      <w:ind w:right="360"/>
      <w:rPr>
        <w:rFonts w:asciiTheme="minorHAnsi" w:hAnsiTheme="minorHAnsi" w:cstheme="minorHAnsi"/>
        <w:color w:val="1F497D" w:themeColor="text2"/>
        <w:sz w:val="20"/>
        <w:szCs w:val="20"/>
      </w:rPr>
    </w:pPr>
    <w:r w:rsidRPr="007942E4">
      <w:rPr>
        <w:rFonts w:asciiTheme="minorHAnsi" w:hAnsiTheme="minorHAnsi" w:cstheme="minorHAnsi"/>
        <w:color w:val="1F497D" w:themeColor="text2"/>
        <w:sz w:val="20"/>
        <w:szCs w:val="20"/>
      </w:rPr>
      <w:t>Version 2: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A0751" w14:textId="77777777" w:rsidR="004F5C36" w:rsidRDefault="004F5C36">
      <w:r>
        <w:separator/>
      </w:r>
    </w:p>
  </w:footnote>
  <w:footnote w:type="continuationSeparator" w:id="0">
    <w:p w14:paraId="258CF231" w14:textId="77777777" w:rsidR="004F5C36" w:rsidRDefault="004F5C36">
      <w:r>
        <w:continuationSeparator/>
      </w:r>
    </w:p>
  </w:footnote>
  <w:footnote w:id="1">
    <w:p w14:paraId="18998FE7" w14:textId="77777777" w:rsidR="00BE4409" w:rsidRPr="00AA7A3A" w:rsidRDefault="00BE4409" w:rsidP="00BE4409">
      <w:pPr>
        <w:pStyle w:val="FootnoteText"/>
        <w:rPr>
          <w:rFonts w:asciiTheme="minorHAnsi" w:hAnsiTheme="minorHAnsi" w:cstheme="minorHAnsi"/>
        </w:rPr>
      </w:pPr>
      <w:r w:rsidRPr="00AA7A3A">
        <w:rPr>
          <w:rStyle w:val="FootnoteReference"/>
          <w:rFonts w:asciiTheme="minorHAnsi" w:hAnsiTheme="minorHAnsi" w:cstheme="minorHAnsi"/>
        </w:rPr>
        <w:footnoteRef/>
      </w:r>
      <w:r w:rsidRPr="00AA7A3A">
        <w:rPr>
          <w:rFonts w:asciiTheme="minorHAnsi" w:hAnsiTheme="minorHAnsi" w:cstheme="minorHAnsi"/>
        </w:rPr>
        <w:t xml:space="preserve"> These are: Age, Disability, Gender Reassignment, Marriage and Civil Partnership, Pregnancy and Maternity, Race, Religion or Belief, Sex, and Sexual Orientation.</w:t>
      </w:r>
    </w:p>
    <w:p w14:paraId="56325913" w14:textId="77777777" w:rsidR="00BE4409" w:rsidRDefault="00BE4409" w:rsidP="00BE4409">
      <w:pPr>
        <w:pStyle w:val="FootnoteText"/>
      </w:pPr>
    </w:p>
    <w:p w14:paraId="649004AB" w14:textId="77777777" w:rsidR="00BE4409" w:rsidRDefault="00BE4409" w:rsidP="00BE44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1F0EB" w14:textId="02669F9A" w:rsidR="00BE661A" w:rsidRDefault="00BE661A" w:rsidP="00BE661A">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2DEE1" w14:textId="0A9125F6" w:rsidR="00BE661A" w:rsidRPr="00BE661A" w:rsidRDefault="00BE661A" w:rsidP="00BE661A">
    <w:pPr>
      <w:pStyle w:val="Header"/>
      <w:ind w:left="-284"/>
    </w:pPr>
    <w:r>
      <w:rPr>
        <w:noProof/>
      </w:rPr>
      <w:drawing>
        <wp:inline distT="0" distB="0" distL="0" distR="0" wp14:anchorId="7D69F64D" wp14:editId="651AE10E">
          <wp:extent cx="1963241"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UoD_LOGO CMYK@100%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241"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1266"/>
    <w:multiLevelType w:val="hybridMultilevel"/>
    <w:tmpl w:val="C762B448"/>
    <w:lvl w:ilvl="0" w:tplc="FFFFFFFF">
      <w:start w:val="1"/>
      <w:numFmt w:val="bullet"/>
      <w:pStyle w:val="ListBullet"/>
      <w:lvlText w:val=""/>
      <w:lvlJc w:val="left"/>
      <w:pPr>
        <w:tabs>
          <w:tab w:val="num" w:pos="360"/>
        </w:tabs>
        <w:ind w:left="360" w:hanging="360"/>
      </w:pPr>
      <w:rPr>
        <w:rFonts w:ascii="Symbol" w:hAnsi="Symbol" w:hint="default"/>
      </w:rPr>
    </w:lvl>
    <w:lvl w:ilvl="1" w:tplc="DEB2F90C">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52A540E1"/>
    <w:multiLevelType w:val="hybridMultilevel"/>
    <w:tmpl w:val="8E305D72"/>
    <w:lvl w:ilvl="0" w:tplc="617686B8">
      <w:numFmt w:val="bullet"/>
      <w:lvlText w:val=""/>
      <w:lvlJc w:val="left"/>
      <w:pPr>
        <w:ind w:left="357" w:hanging="252"/>
      </w:pPr>
      <w:rPr>
        <w:rFonts w:ascii="Symbol" w:eastAsia="Symbol" w:hAnsi="Symbol" w:cs="Symbol" w:hint="default"/>
        <w:w w:val="99"/>
        <w:sz w:val="20"/>
        <w:szCs w:val="20"/>
        <w:lang w:val="en-GB" w:eastAsia="en-GB" w:bidi="en-GB"/>
      </w:rPr>
    </w:lvl>
    <w:lvl w:ilvl="1" w:tplc="E1D8B330">
      <w:numFmt w:val="bullet"/>
      <w:lvlText w:val="•"/>
      <w:lvlJc w:val="left"/>
      <w:pPr>
        <w:ind w:left="904" w:hanging="252"/>
      </w:pPr>
      <w:rPr>
        <w:rFonts w:hint="default"/>
        <w:lang w:val="en-GB" w:eastAsia="en-GB" w:bidi="en-GB"/>
      </w:rPr>
    </w:lvl>
    <w:lvl w:ilvl="2" w:tplc="A7EA52D8">
      <w:numFmt w:val="bullet"/>
      <w:lvlText w:val="•"/>
      <w:lvlJc w:val="left"/>
      <w:pPr>
        <w:ind w:left="1448" w:hanging="252"/>
      </w:pPr>
      <w:rPr>
        <w:rFonts w:hint="default"/>
        <w:lang w:val="en-GB" w:eastAsia="en-GB" w:bidi="en-GB"/>
      </w:rPr>
    </w:lvl>
    <w:lvl w:ilvl="3" w:tplc="832CA964">
      <w:numFmt w:val="bullet"/>
      <w:lvlText w:val="•"/>
      <w:lvlJc w:val="left"/>
      <w:pPr>
        <w:ind w:left="1992" w:hanging="252"/>
      </w:pPr>
      <w:rPr>
        <w:rFonts w:hint="default"/>
        <w:lang w:val="en-GB" w:eastAsia="en-GB" w:bidi="en-GB"/>
      </w:rPr>
    </w:lvl>
    <w:lvl w:ilvl="4" w:tplc="FA40F6A0">
      <w:numFmt w:val="bullet"/>
      <w:lvlText w:val="•"/>
      <w:lvlJc w:val="left"/>
      <w:pPr>
        <w:ind w:left="2536" w:hanging="252"/>
      </w:pPr>
      <w:rPr>
        <w:rFonts w:hint="default"/>
        <w:lang w:val="en-GB" w:eastAsia="en-GB" w:bidi="en-GB"/>
      </w:rPr>
    </w:lvl>
    <w:lvl w:ilvl="5" w:tplc="17265AFE">
      <w:numFmt w:val="bullet"/>
      <w:lvlText w:val="•"/>
      <w:lvlJc w:val="left"/>
      <w:pPr>
        <w:ind w:left="3081" w:hanging="252"/>
      </w:pPr>
      <w:rPr>
        <w:rFonts w:hint="default"/>
        <w:lang w:val="en-GB" w:eastAsia="en-GB" w:bidi="en-GB"/>
      </w:rPr>
    </w:lvl>
    <w:lvl w:ilvl="6" w:tplc="5A5E3142">
      <w:numFmt w:val="bullet"/>
      <w:lvlText w:val="•"/>
      <w:lvlJc w:val="left"/>
      <w:pPr>
        <w:ind w:left="3625" w:hanging="252"/>
      </w:pPr>
      <w:rPr>
        <w:rFonts w:hint="default"/>
        <w:lang w:val="en-GB" w:eastAsia="en-GB" w:bidi="en-GB"/>
      </w:rPr>
    </w:lvl>
    <w:lvl w:ilvl="7" w:tplc="082823F2">
      <w:numFmt w:val="bullet"/>
      <w:lvlText w:val="•"/>
      <w:lvlJc w:val="left"/>
      <w:pPr>
        <w:ind w:left="4169" w:hanging="252"/>
      </w:pPr>
      <w:rPr>
        <w:rFonts w:hint="default"/>
        <w:lang w:val="en-GB" w:eastAsia="en-GB" w:bidi="en-GB"/>
      </w:rPr>
    </w:lvl>
    <w:lvl w:ilvl="8" w:tplc="543C1AC8">
      <w:numFmt w:val="bullet"/>
      <w:lvlText w:val="•"/>
      <w:lvlJc w:val="left"/>
      <w:pPr>
        <w:ind w:left="4713" w:hanging="252"/>
      </w:pPr>
      <w:rPr>
        <w:rFonts w:hint="default"/>
        <w:lang w:val="en-GB" w:eastAsia="en-GB" w:bidi="en-GB"/>
      </w:rPr>
    </w:lvl>
  </w:abstractNum>
  <w:abstractNum w:abstractNumId="2" w15:restartNumberingAfterBreak="0">
    <w:nsid w:val="56245D96"/>
    <w:multiLevelType w:val="hybridMultilevel"/>
    <w:tmpl w:val="03E49AD0"/>
    <w:lvl w:ilvl="0" w:tplc="AA8C29C2">
      <w:numFmt w:val="bullet"/>
      <w:lvlText w:val=""/>
      <w:lvlJc w:val="left"/>
      <w:pPr>
        <w:ind w:left="357" w:hanging="252"/>
      </w:pPr>
      <w:rPr>
        <w:rFonts w:ascii="Symbol" w:eastAsia="Symbol" w:hAnsi="Symbol" w:cs="Symbol" w:hint="default"/>
        <w:w w:val="99"/>
        <w:sz w:val="20"/>
        <w:szCs w:val="20"/>
        <w:lang w:val="en-GB" w:eastAsia="en-GB" w:bidi="en-GB"/>
      </w:rPr>
    </w:lvl>
    <w:lvl w:ilvl="1" w:tplc="4E44F60E">
      <w:numFmt w:val="bullet"/>
      <w:lvlText w:val="•"/>
      <w:lvlJc w:val="left"/>
      <w:pPr>
        <w:ind w:left="904" w:hanging="252"/>
      </w:pPr>
      <w:rPr>
        <w:rFonts w:hint="default"/>
        <w:lang w:val="en-GB" w:eastAsia="en-GB" w:bidi="en-GB"/>
      </w:rPr>
    </w:lvl>
    <w:lvl w:ilvl="2" w:tplc="177A1CCA">
      <w:numFmt w:val="bullet"/>
      <w:lvlText w:val="•"/>
      <w:lvlJc w:val="left"/>
      <w:pPr>
        <w:ind w:left="1448" w:hanging="252"/>
      </w:pPr>
      <w:rPr>
        <w:rFonts w:hint="default"/>
        <w:lang w:val="en-GB" w:eastAsia="en-GB" w:bidi="en-GB"/>
      </w:rPr>
    </w:lvl>
    <w:lvl w:ilvl="3" w:tplc="BEF67F46">
      <w:numFmt w:val="bullet"/>
      <w:lvlText w:val="•"/>
      <w:lvlJc w:val="left"/>
      <w:pPr>
        <w:ind w:left="1992" w:hanging="252"/>
      </w:pPr>
      <w:rPr>
        <w:rFonts w:hint="default"/>
        <w:lang w:val="en-GB" w:eastAsia="en-GB" w:bidi="en-GB"/>
      </w:rPr>
    </w:lvl>
    <w:lvl w:ilvl="4" w:tplc="165662B8">
      <w:numFmt w:val="bullet"/>
      <w:lvlText w:val="•"/>
      <w:lvlJc w:val="left"/>
      <w:pPr>
        <w:ind w:left="2536" w:hanging="252"/>
      </w:pPr>
      <w:rPr>
        <w:rFonts w:hint="default"/>
        <w:lang w:val="en-GB" w:eastAsia="en-GB" w:bidi="en-GB"/>
      </w:rPr>
    </w:lvl>
    <w:lvl w:ilvl="5" w:tplc="90162DBC">
      <w:numFmt w:val="bullet"/>
      <w:lvlText w:val="•"/>
      <w:lvlJc w:val="left"/>
      <w:pPr>
        <w:ind w:left="3081" w:hanging="252"/>
      </w:pPr>
      <w:rPr>
        <w:rFonts w:hint="default"/>
        <w:lang w:val="en-GB" w:eastAsia="en-GB" w:bidi="en-GB"/>
      </w:rPr>
    </w:lvl>
    <w:lvl w:ilvl="6" w:tplc="D83068DE">
      <w:numFmt w:val="bullet"/>
      <w:lvlText w:val="•"/>
      <w:lvlJc w:val="left"/>
      <w:pPr>
        <w:ind w:left="3625" w:hanging="252"/>
      </w:pPr>
      <w:rPr>
        <w:rFonts w:hint="default"/>
        <w:lang w:val="en-GB" w:eastAsia="en-GB" w:bidi="en-GB"/>
      </w:rPr>
    </w:lvl>
    <w:lvl w:ilvl="7" w:tplc="713A1C36">
      <w:numFmt w:val="bullet"/>
      <w:lvlText w:val="•"/>
      <w:lvlJc w:val="left"/>
      <w:pPr>
        <w:ind w:left="4169" w:hanging="252"/>
      </w:pPr>
      <w:rPr>
        <w:rFonts w:hint="default"/>
        <w:lang w:val="en-GB" w:eastAsia="en-GB" w:bidi="en-GB"/>
      </w:rPr>
    </w:lvl>
    <w:lvl w:ilvl="8" w:tplc="B47A3DB6">
      <w:numFmt w:val="bullet"/>
      <w:lvlText w:val="•"/>
      <w:lvlJc w:val="left"/>
      <w:pPr>
        <w:ind w:left="4713" w:hanging="252"/>
      </w:pPr>
      <w:rPr>
        <w:rFonts w:hint="default"/>
        <w:lang w:val="en-GB" w:eastAsia="en-GB" w:bidi="en-GB"/>
      </w:rPr>
    </w:lvl>
  </w:abstractNum>
  <w:abstractNum w:abstractNumId="3" w15:restartNumberingAfterBreak="0">
    <w:nsid w:val="5B9D5C8F"/>
    <w:multiLevelType w:val="hybridMultilevel"/>
    <w:tmpl w:val="C38ECF68"/>
    <w:lvl w:ilvl="0" w:tplc="0809000F">
      <w:start w:val="1"/>
      <w:numFmt w:val="decimal"/>
      <w:lvlText w:val="%1."/>
      <w:lvlJc w:val="left"/>
      <w:pPr>
        <w:tabs>
          <w:tab w:val="num" w:pos="720"/>
        </w:tabs>
        <w:ind w:left="720" w:hanging="360"/>
      </w:pPr>
      <w:rPr>
        <w:rFonts w:cs="Times New Roman"/>
      </w:rPr>
    </w:lvl>
    <w:lvl w:ilvl="1" w:tplc="DEB2F90C">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CBD402D"/>
    <w:multiLevelType w:val="hybridMultilevel"/>
    <w:tmpl w:val="85E29648"/>
    <w:lvl w:ilvl="0" w:tplc="F50C9260">
      <w:numFmt w:val="bullet"/>
      <w:lvlText w:val=""/>
      <w:lvlJc w:val="left"/>
      <w:pPr>
        <w:ind w:left="357" w:hanging="252"/>
      </w:pPr>
      <w:rPr>
        <w:rFonts w:ascii="Symbol" w:eastAsia="Symbol" w:hAnsi="Symbol" w:cs="Symbol" w:hint="default"/>
        <w:w w:val="99"/>
        <w:sz w:val="20"/>
        <w:szCs w:val="20"/>
        <w:lang w:val="en-GB" w:eastAsia="en-GB" w:bidi="en-GB"/>
      </w:rPr>
    </w:lvl>
    <w:lvl w:ilvl="1" w:tplc="0D8AE6BE">
      <w:numFmt w:val="bullet"/>
      <w:lvlText w:val="•"/>
      <w:lvlJc w:val="left"/>
      <w:pPr>
        <w:ind w:left="904" w:hanging="252"/>
      </w:pPr>
      <w:rPr>
        <w:rFonts w:hint="default"/>
        <w:lang w:val="en-GB" w:eastAsia="en-GB" w:bidi="en-GB"/>
      </w:rPr>
    </w:lvl>
    <w:lvl w:ilvl="2" w:tplc="CD94577C">
      <w:numFmt w:val="bullet"/>
      <w:lvlText w:val="•"/>
      <w:lvlJc w:val="left"/>
      <w:pPr>
        <w:ind w:left="1448" w:hanging="252"/>
      </w:pPr>
      <w:rPr>
        <w:rFonts w:hint="default"/>
        <w:lang w:val="en-GB" w:eastAsia="en-GB" w:bidi="en-GB"/>
      </w:rPr>
    </w:lvl>
    <w:lvl w:ilvl="3" w:tplc="88C69D72">
      <w:numFmt w:val="bullet"/>
      <w:lvlText w:val="•"/>
      <w:lvlJc w:val="left"/>
      <w:pPr>
        <w:ind w:left="1992" w:hanging="252"/>
      </w:pPr>
      <w:rPr>
        <w:rFonts w:hint="default"/>
        <w:lang w:val="en-GB" w:eastAsia="en-GB" w:bidi="en-GB"/>
      </w:rPr>
    </w:lvl>
    <w:lvl w:ilvl="4" w:tplc="C7989A90">
      <w:numFmt w:val="bullet"/>
      <w:lvlText w:val="•"/>
      <w:lvlJc w:val="left"/>
      <w:pPr>
        <w:ind w:left="2536" w:hanging="252"/>
      </w:pPr>
      <w:rPr>
        <w:rFonts w:hint="default"/>
        <w:lang w:val="en-GB" w:eastAsia="en-GB" w:bidi="en-GB"/>
      </w:rPr>
    </w:lvl>
    <w:lvl w:ilvl="5" w:tplc="075820FC">
      <w:numFmt w:val="bullet"/>
      <w:lvlText w:val="•"/>
      <w:lvlJc w:val="left"/>
      <w:pPr>
        <w:ind w:left="3081" w:hanging="252"/>
      </w:pPr>
      <w:rPr>
        <w:rFonts w:hint="default"/>
        <w:lang w:val="en-GB" w:eastAsia="en-GB" w:bidi="en-GB"/>
      </w:rPr>
    </w:lvl>
    <w:lvl w:ilvl="6" w:tplc="B77A65C8">
      <w:numFmt w:val="bullet"/>
      <w:lvlText w:val="•"/>
      <w:lvlJc w:val="left"/>
      <w:pPr>
        <w:ind w:left="3625" w:hanging="252"/>
      </w:pPr>
      <w:rPr>
        <w:rFonts w:hint="default"/>
        <w:lang w:val="en-GB" w:eastAsia="en-GB" w:bidi="en-GB"/>
      </w:rPr>
    </w:lvl>
    <w:lvl w:ilvl="7" w:tplc="28A6AB4C">
      <w:numFmt w:val="bullet"/>
      <w:lvlText w:val="•"/>
      <w:lvlJc w:val="left"/>
      <w:pPr>
        <w:ind w:left="4169" w:hanging="252"/>
      </w:pPr>
      <w:rPr>
        <w:rFonts w:hint="default"/>
        <w:lang w:val="en-GB" w:eastAsia="en-GB" w:bidi="en-GB"/>
      </w:rPr>
    </w:lvl>
    <w:lvl w:ilvl="8" w:tplc="11D2EBF4">
      <w:numFmt w:val="bullet"/>
      <w:lvlText w:val="•"/>
      <w:lvlJc w:val="left"/>
      <w:pPr>
        <w:ind w:left="4713" w:hanging="252"/>
      </w:pPr>
      <w:rPr>
        <w:rFonts w:hint="default"/>
        <w:lang w:val="en-GB" w:eastAsia="en-GB" w:bidi="en-GB"/>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9"/>
    <w:rsid w:val="00001107"/>
    <w:rsid w:val="00003B82"/>
    <w:rsid w:val="00006E96"/>
    <w:rsid w:val="0001219D"/>
    <w:rsid w:val="000346C7"/>
    <w:rsid w:val="0003613F"/>
    <w:rsid w:val="00050009"/>
    <w:rsid w:val="000501B9"/>
    <w:rsid w:val="00050B82"/>
    <w:rsid w:val="00053A57"/>
    <w:rsid w:val="00055734"/>
    <w:rsid w:val="00055A77"/>
    <w:rsid w:val="00071BAD"/>
    <w:rsid w:val="00083A8D"/>
    <w:rsid w:val="0009163D"/>
    <w:rsid w:val="00091725"/>
    <w:rsid w:val="00092E2A"/>
    <w:rsid w:val="00095654"/>
    <w:rsid w:val="000B4BAD"/>
    <w:rsid w:val="000B7988"/>
    <w:rsid w:val="000C061E"/>
    <w:rsid w:val="000D4708"/>
    <w:rsid w:val="000D5CD7"/>
    <w:rsid w:val="000D75C6"/>
    <w:rsid w:val="000E1DDF"/>
    <w:rsid w:val="000E4659"/>
    <w:rsid w:val="00106E2E"/>
    <w:rsid w:val="00112891"/>
    <w:rsid w:val="00115CBE"/>
    <w:rsid w:val="0012683E"/>
    <w:rsid w:val="00137915"/>
    <w:rsid w:val="00151C3F"/>
    <w:rsid w:val="00153251"/>
    <w:rsid w:val="00164C0B"/>
    <w:rsid w:val="00165FF4"/>
    <w:rsid w:val="0017561B"/>
    <w:rsid w:val="001810C1"/>
    <w:rsid w:val="00184732"/>
    <w:rsid w:val="00184C53"/>
    <w:rsid w:val="001A2681"/>
    <w:rsid w:val="001B0B97"/>
    <w:rsid w:val="001B6102"/>
    <w:rsid w:val="001C3F3D"/>
    <w:rsid w:val="001C529E"/>
    <w:rsid w:val="001C6674"/>
    <w:rsid w:val="001D19BA"/>
    <w:rsid w:val="001D72C7"/>
    <w:rsid w:val="001E79BF"/>
    <w:rsid w:val="001F0339"/>
    <w:rsid w:val="002072D3"/>
    <w:rsid w:val="00213032"/>
    <w:rsid w:val="00215A11"/>
    <w:rsid w:val="00215A21"/>
    <w:rsid w:val="0022493E"/>
    <w:rsid w:val="00227163"/>
    <w:rsid w:val="002476C4"/>
    <w:rsid w:val="00250039"/>
    <w:rsid w:val="00250409"/>
    <w:rsid w:val="002525C7"/>
    <w:rsid w:val="00262DAB"/>
    <w:rsid w:val="00265489"/>
    <w:rsid w:val="00267D8A"/>
    <w:rsid w:val="00270D4E"/>
    <w:rsid w:val="00273BA5"/>
    <w:rsid w:val="0027495E"/>
    <w:rsid w:val="00297E2B"/>
    <w:rsid w:val="002B6EF0"/>
    <w:rsid w:val="002C70D7"/>
    <w:rsid w:val="002D1F27"/>
    <w:rsid w:val="002D6B89"/>
    <w:rsid w:val="002F029F"/>
    <w:rsid w:val="002F0DB7"/>
    <w:rsid w:val="002F7658"/>
    <w:rsid w:val="00306254"/>
    <w:rsid w:val="00311F3D"/>
    <w:rsid w:val="003217A2"/>
    <w:rsid w:val="0032566D"/>
    <w:rsid w:val="003351F9"/>
    <w:rsid w:val="0033700C"/>
    <w:rsid w:val="00341272"/>
    <w:rsid w:val="003571C3"/>
    <w:rsid w:val="00361E11"/>
    <w:rsid w:val="00365DA9"/>
    <w:rsid w:val="003675D6"/>
    <w:rsid w:val="0037015A"/>
    <w:rsid w:val="003817F5"/>
    <w:rsid w:val="00387462"/>
    <w:rsid w:val="00393292"/>
    <w:rsid w:val="003B4767"/>
    <w:rsid w:val="003C1E63"/>
    <w:rsid w:val="003E3AB9"/>
    <w:rsid w:val="003F4852"/>
    <w:rsid w:val="00400E00"/>
    <w:rsid w:val="0040264B"/>
    <w:rsid w:val="00407918"/>
    <w:rsid w:val="00416563"/>
    <w:rsid w:val="0042215F"/>
    <w:rsid w:val="00424516"/>
    <w:rsid w:val="00430C83"/>
    <w:rsid w:val="00437769"/>
    <w:rsid w:val="004510B3"/>
    <w:rsid w:val="004625F4"/>
    <w:rsid w:val="00464638"/>
    <w:rsid w:val="00466FE7"/>
    <w:rsid w:val="00472864"/>
    <w:rsid w:val="004762C4"/>
    <w:rsid w:val="0047688F"/>
    <w:rsid w:val="00487DFC"/>
    <w:rsid w:val="004908F4"/>
    <w:rsid w:val="00495DA0"/>
    <w:rsid w:val="00496565"/>
    <w:rsid w:val="004A03C8"/>
    <w:rsid w:val="004A0BC4"/>
    <w:rsid w:val="004A38B8"/>
    <w:rsid w:val="004B5E11"/>
    <w:rsid w:val="004B6F83"/>
    <w:rsid w:val="004C203E"/>
    <w:rsid w:val="004D5AD5"/>
    <w:rsid w:val="004E2DB1"/>
    <w:rsid w:val="004E5644"/>
    <w:rsid w:val="004E765B"/>
    <w:rsid w:val="004F3938"/>
    <w:rsid w:val="004F5C36"/>
    <w:rsid w:val="004F6AA2"/>
    <w:rsid w:val="00504942"/>
    <w:rsid w:val="005100D6"/>
    <w:rsid w:val="00521E0E"/>
    <w:rsid w:val="005273F9"/>
    <w:rsid w:val="00527882"/>
    <w:rsid w:val="00535872"/>
    <w:rsid w:val="0054183F"/>
    <w:rsid w:val="0055070E"/>
    <w:rsid w:val="005547A1"/>
    <w:rsid w:val="00560307"/>
    <w:rsid w:val="00573E67"/>
    <w:rsid w:val="00592A90"/>
    <w:rsid w:val="00592D44"/>
    <w:rsid w:val="005955E1"/>
    <w:rsid w:val="0059729C"/>
    <w:rsid w:val="005A3874"/>
    <w:rsid w:val="005A5787"/>
    <w:rsid w:val="005B1608"/>
    <w:rsid w:val="005B2BBE"/>
    <w:rsid w:val="005C1367"/>
    <w:rsid w:val="005C318A"/>
    <w:rsid w:val="005D1CCE"/>
    <w:rsid w:val="005D25CC"/>
    <w:rsid w:val="005D3BD0"/>
    <w:rsid w:val="005D6E3E"/>
    <w:rsid w:val="005E13E9"/>
    <w:rsid w:val="005E257A"/>
    <w:rsid w:val="005E67A6"/>
    <w:rsid w:val="005F5274"/>
    <w:rsid w:val="005F6531"/>
    <w:rsid w:val="006013E4"/>
    <w:rsid w:val="00603EA0"/>
    <w:rsid w:val="006057C0"/>
    <w:rsid w:val="00616E6F"/>
    <w:rsid w:val="00627C29"/>
    <w:rsid w:val="00635C00"/>
    <w:rsid w:val="00636B6E"/>
    <w:rsid w:val="00637962"/>
    <w:rsid w:val="00640F13"/>
    <w:rsid w:val="00641157"/>
    <w:rsid w:val="00642878"/>
    <w:rsid w:val="0064472B"/>
    <w:rsid w:val="00645910"/>
    <w:rsid w:val="006604AD"/>
    <w:rsid w:val="00660DFA"/>
    <w:rsid w:val="00662A7D"/>
    <w:rsid w:val="0067126C"/>
    <w:rsid w:val="00673299"/>
    <w:rsid w:val="00683CF6"/>
    <w:rsid w:val="00687B91"/>
    <w:rsid w:val="006A06ED"/>
    <w:rsid w:val="006A49BA"/>
    <w:rsid w:val="006A52CE"/>
    <w:rsid w:val="006A6198"/>
    <w:rsid w:val="006A7BCD"/>
    <w:rsid w:val="006B44AC"/>
    <w:rsid w:val="006B5758"/>
    <w:rsid w:val="006B63A7"/>
    <w:rsid w:val="006C6C07"/>
    <w:rsid w:val="006D4738"/>
    <w:rsid w:val="006D4AC1"/>
    <w:rsid w:val="006D7BBA"/>
    <w:rsid w:val="006E7338"/>
    <w:rsid w:val="00700B51"/>
    <w:rsid w:val="00707969"/>
    <w:rsid w:val="0071655A"/>
    <w:rsid w:val="00720E64"/>
    <w:rsid w:val="00726005"/>
    <w:rsid w:val="007300F0"/>
    <w:rsid w:val="00732D25"/>
    <w:rsid w:val="00745B37"/>
    <w:rsid w:val="007522E6"/>
    <w:rsid w:val="007533D4"/>
    <w:rsid w:val="007549DD"/>
    <w:rsid w:val="00762D48"/>
    <w:rsid w:val="00763D69"/>
    <w:rsid w:val="00767854"/>
    <w:rsid w:val="0077043E"/>
    <w:rsid w:val="00790212"/>
    <w:rsid w:val="007942E4"/>
    <w:rsid w:val="007952FA"/>
    <w:rsid w:val="007A2217"/>
    <w:rsid w:val="007B36F8"/>
    <w:rsid w:val="007C6E01"/>
    <w:rsid w:val="007C7237"/>
    <w:rsid w:val="007D1476"/>
    <w:rsid w:val="007D5AFC"/>
    <w:rsid w:val="007D7C49"/>
    <w:rsid w:val="007E26A6"/>
    <w:rsid w:val="007E5FA5"/>
    <w:rsid w:val="007F35B2"/>
    <w:rsid w:val="008213AE"/>
    <w:rsid w:val="008225E1"/>
    <w:rsid w:val="00827BB2"/>
    <w:rsid w:val="008310F6"/>
    <w:rsid w:val="00831BD1"/>
    <w:rsid w:val="00837AE6"/>
    <w:rsid w:val="00842CBD"/>
    <w:rsid w:val="00852A77"/>
    <w:rsid w:val="00852DC9"/>
    <w:rsid w:val="00871F74"/>
    <w:rsid w:val="008725E8"/>
    <w:rsid w:val="008819C5"/>
    <w:rsid w:val="00882564"/>
    <w:rsid w:val="00883DF8"/>
    <w:rsid w:val="0088575B"/>
    <w:rsid w:val="00890522"/>
    <w:rsid w:val="0089393C"/>
    <w:rsid w:val="0089545A"/>
    <w:rsid w:val="00897CE5"/>
    <w:rsid w:val="008A04C5"/>
    <w:rsid w:val="008A1C0C"/>
    <w:rsid w:val="008A2D74"/>
    <w:rsid w:val="008A7B1F"/>
    <w:rsid w:val="008B6290"/>
    <w:rsid w:val="008C145F"/>
    <w:rsid w:val="008C3D4D"/>
    <w:rsid w:val="008D386F"/>
    <w:rsid w:val="008E2673"/>
    <w:rsid w:val="008E6F08"/>
    <w:rsid w:val="008E71A6"/>
    <w:rsid w:val="008F192A"/>
    <w:rsid w:val="008F5E3F"/>
    <w:rsid w:val="00905EFA"/>
    <w:rsid w:val="0090697E"/>
    <w:rsid w:val="00911C83"/>
    <w:rsid w:val="00912C47"/>
    <w:rsid w:val="00917DCE"/>
    <w:rsid w:val="009303C3"/>
    <w:rsid w:val="00937F4D"/>
    <w:rsid w:val="00941E8D"/>
    <w:rsid w:val="00942959"/>
    <w:rsid w:val="00942BC7"/>
    <w:rsid w:val="00950E8E"/>
    <w:rsid w:val="00951499"/>
    <w:rsid w:val="00953580"/>
    <w:rsid w:val="009602B1"/>
    <w:rsid w:val="00971F57"/>
    <w:rsid w:val="00972689"/>
    <w:rsid w:val="00983141"/>
    <w:rsid w:val="00985ACC"/>
    <w:rsid w:val="00990537"/>
    <w:rsid w:val="009919AA"/>
    <w:rsid w:val="00993CF4"/>
    <w:rsid w:val="009960AE"/>
    <w:rsid w:val="0099622D"/>
    <w:rsid w:val="009A1001"/>
    <w:rsid w:val="009A38CC"/>
    <w:rsid w:val="009A7007"/>
    <w:rsid w:val="009A7B5A"/>
    <w:rsid w:val="009C2AA8"/>
    <w:rsid w:val="009C48F1"/>
    <w:rsid w:val="009E312A"/>
    <w:rsid w:val="009E49F3"/>
    <w:rsid w:val="009E6350"/>
    <w:rsid w:val="009E656D"/>
    <w:rsid w:val="00A03450"/>
    <w:rsid w:val="00A040B0"/>
    <w:rsid w:val="00A109A4"/>
    <w:rsid w:val="00A202A3"/>
    <w:rsid w:val="00A23B20"/>
    <w:rsid w:val="00A24BBA"/>
    <w:rsid w:val="00A31957"/>
    <w:rsid w:val="00A37B96"/>
    <w:rsid w:val="00A406E4"/>
    <w:rsid w:val="00A41475"/>
    <w:rsid w:val="00A418B6"/>
    <w:rsid w:val="00A45680"/>
    <w:rsid w:val="00A47451"/>
    <w:rsid w:val="00A550A0"/>
    <w:rsid w:val="00A568DA"/>
    <w:rsid w:val="00A63FBD"/>
    <w:rsid w:val="00A659AD"/>
    <w:rsid w:val="00A6752F"/>
    <w:rsid w:val="00A70C7C"/>
    <w:rsid w:val="00A71923"/>
    <w:rsid w:val="00A726BD"/>
    <w:rsid w:val="00A74DBA"/>
    <w:rsid w:val="00A74F0B"/>
    <w:rsid w:val="00A75B5D"/>
    <w:rsid w:val="00A8334F"/>
    <w:rsid w:val="00A93E45"/>
    <w:rsid w:val="00AA1693"/>
    <w:rsid w:val="00AA326D"/>
    <w:rsid w:val="00AA3EC5"/>
    <w:rsid w:val="00AA55DB"/>
    <w:rsid w:val="00AA5AAD"/>
    <w:rsid w:val="00AA7A3A"/>
    <w:rsid w:val="00AA7FCA"/>
    <w:rsid w:val="00AB1236"/>
    <w:rsid w:val="00AB260D"/>
    <w:rsid w:val="00AC0EA4"/>
    <w:rsid w:val="00AC6DCF"/>
    <w:rsid w:val="00AD1B42"/>
    <w:rsid w:val="00AE00F4"/>
    <w:rsid w:val="00AE261B"/>
    <w:rsid w:val="00AE4F41"/>
    <w:rsid w:val="00AE7817"/>
    <w:rsid w:val="00AF3187"/>
    <w:rsid w:val="00B064CB"/>
    <w:rsid w:val="00B06E8A"/>
    <w:rsid w:val="00B1184A"/>
    <w:rsid w:val="00B13738"/>
    <w:rsid w:val="00B14FA6"/>
    <w:rsid w:val="00B17027"/>
    <w:rsid w:val="00B22E36"/>
    <w:rsid w:val="00B34C85"/>
    <w:rsid w:val="00B35060"/>
    <w:rsid w:val="00B42F7F"/>
    <w:rsid w:val="00B50778"/>
    <w:rsid w:val="00B52C29"/>
    <w:rsid w:val="00B54F42"/>
    <w:rsid w:val="00B55A25"/>
    <w:rsid w:val="00B83832"/>
    <w:rsid w:val="00B919EC"/>
    <w:rsid w:val="00B93E53"/>
    <w:rsid w:val="00B95828"/>
    <w:rsid w:val="00B960B2"/>
    <w:rsid w:val="00BC016D"/>
    <w:rsid w:val="00BC6CBD"/>
    <w:rsid w:val="00BD794A"/>
    <w:rsid w:val="00BE3A3D"/>
    <w:rsid w:val="00BE4409"/>
    <w:rsid w:val="00BE49D2"/>
    <w:rsid w:val="00BE661A"/>
    <w:rsid w:val="00BF535D"/>
    <w:rsid w:val="00C010D8"/>
    <w:rsid w:val="00C0245B"/>
    <w:rsid w:val="00C11F4F"/>
    <w:rsid w:val="00C14330"/>
    <w:rsid w:val="00C17780"/>
    <w:rsid w:val="00C17958"/>
    <w:rsid w:val="00C20EF2"/>
    <w:rsid w:val="00C242EB"/>
    <w:rsid w:val="00C462C0"/>
    <w:rsid w:val="00C55A33"/>
    <w:rsid w:val="00C6003B"/>
    <w:rsid w:val="00C72372"/>
    <w:rsid w:val="00C7440F"/>
    <w:rsid w:val="00C74814"/>
    <w:rsid w:val="00C85B05"/>
    <w:rsid w:val="00C85DDF"/>
    <w:rsid w:val="00C90212"/>
    <w:rsid w:val="00CA4456"/>
    <w:rsid w:val="00CA6536"/>
    <w:rsid w:val="00CA7EE8"/>
    <w:rsid w:val="00CB1252"/>
    <w:rsid w:val="00CB6E24"/>
    <w:rsid w:val="00CC32E4"/>
    <w:rsid w:val="00CC3427"/>
    <w:rsid w:val="00CC35B2"/>
    <w:rsid w:val="00CC7529"/>
    <w:rsid w:val="00CD58A3"/>
    <w:rsid w:val="00CE2F60"/>
    <w:rsid w:val="00CE4D9E"/>
    <w:rsid w:val="00CF7CE2"/>
    <w:rsid w:val="00D05405"/>
    <w:rsid w:val="00D12057"/>
    <w:rsid w:val="00D1713A"/>
    <w:rsid w:val="00D3178C"/>
    <w:rsid w:val="00D50CE2"/>
    <w:rsid w:val="00D577DD"/>
    <w:rsid w:val="00D62483"/>
    <w:rsid w:val="00D8244A"/>
    <w:rsid w:val="00D8633B"/>
    <w:rsid w:val="00D874C1"/>
    <w:rsid w:val="00D93309"/>
    <w:rsid w:val="00D95F27"/>
    <w:rsid w:val="00DA3E62"/>
    <w:rsid w:val="00DA5725"/>
    <w:rsid w:val="00DB2F7D"/>
    <w:rsid w:val="00DB4CFE"/>
    <w:rsid w:val="00DC4A79"/>
    <w:rsid w:val="00DC6865"/>
    <w:rsid w:val="00DD36FE"/>
    <w:rsid w:val="00DD3BE3"/>
    <w:rsid w:val="00DF1DB5"/>
    <w:rsid w:val="00DF31D5"/>
    <w:rsid w:val="00DF52B7"/>
    <w:rsid w:val="00DF6B07"/>
    <w:rsid w:val="00E00C24"/>
    <w:rsid w:val="00E024F4"/>
    <w:rsid w:val="00E04730"/>
    <w:rsid w:val="00E05FFE"/>
    <w:rsid w:val="00E13A73"/>
    <w:rsid w:val="00E16B81"/>
    <w:rsid w:val="00E2182B"/>
    <w:rsid w:val="00E249F1"/>
    <w:rsid w:val="00E301EA"/>
    <w:rsid w:val="00E310B1"/>
    <w:rsid w:val="00E42E05"/>
    <w:rsid w:val="00E462DC"/>
    <w:rsid w:val="00E57F87"/>
    <w:rsid w:val="00E67E6A"/>
    <w:rsid w:val="00E7161C"/>
    <w:rsid w:val="00E76516"/>
    <w:rsid w:val="00E80C65"/>
    <w:rsid w:val="00E80D79"/>
    <w:rsid w:val="00E8218F"/>
    <w:rsid w:val="00E8285B"/>
    <w:rsid w:val="00E87FB6"/>
    <w:rsid w:val="00EA3AD6"/>
    <w:rsid w:val="00EB00CE"/>
    <w:rsid w:val="00EB03C6"/>
    <w:rsid w:val="00EB57D6"/>
    <w:rsid w:val="00EB75CA"/>
    <w:rsid w:val="00EC6F0B"/>
    <w:rsid w:val="00ED05F5"/>
    <w:rsid w:val="00ED6AB9"/>
    <w:rsid w:val="00EE7BBA"/>
    <w:rsid w:val="00EE7C83"/>
    <w:rsid w:val="00EF1059"/>
    <w:rsid w:val="00EF2F8C"/>
    <w:rsid w:val="00EF4B28"/>
    <w:rsid w:val="00EF5EAC"/>
    <w:rsid w:val="00EF66E8"/>
    <w:rsid w:val="00F033E5"/>
    <w:rsid w:val="00F0603C"/>
    <w:rsid w:val="00F11198"/>
    <w:rsid w:val="00F13095"/>
    <w:rsid w:val="00F14B72"/>
    <w:rsid w:val="00F15156"/>
    <w:rsid w:val="00F16B97"/>
    <w:rsid w:val="00F24ECB"/>
    <w:rsid w:val="00F27DC6"/>
    <w:rsid w:val="00F35D7E"/>
    <w:rsid w:val="00F42545"/>
    <w:rsid w:val="00F44551"/>
    <w:rsid w:val="00F45FFC"/>
    <w:rsid w:val="00F5310F"/>
    <w:rsid w:val="00F532BD"/>
    <w:rsid w:val="00F708A6"/>
    <w:rsid w:val="00F70AF9"/>
    <w:rsid w:val="00F75E0B"/>
    <w:rsid w:val="00F82FC5"/>
    <w:rsid w:val="00F9634B"/>
    <w:rsid w:val="00FA0EBE"/>
    <w:rsid w:val="00FA4E1A"/>
    <w:rsid w:val="00FA73B5"/>
    <w:rsid w:val="00FB69EB"/>
    <w:rsid w:val="00FE29AF"/>
    <w:rsid w:val="00FF48C4"/>
    <w:rsid w:val="016F9D77"/>
    <w:rsid w:val="06B6EAE9"/>
    <w:rsid w:val="083419D1"/>
    <w:rsid w:val="0B189481"/>
    <w:rsid w:val="15849506"/>
    <w:rsid w:val="16E1AA2A"/>
    <w:rsid w:val="18480D5D"/>
    <w:rsid w:val="1E24CC95"/>
    <w:rsid w:val="1FF453C1"/>
    <w:rsid w:val="234987BB"/>
    <w:rsid w:val="259BE914"/>
    <w:rsid w:val="2A871939"/>
    <w:rsid w:val="2BC621E8"/>
    <w:rsid w:val="2C7C8B3E"/>
    <w:rsid w:val="2D79E0DB"/>
    <w:rsid w:val="2D8E9CE5"/>
    <w:rsid w:val="2F1ABBC7"/>
    <w:rsid w:val="2FB387AE"/>
    <w:rsid w:val="30B68C28"/>
    <w:rsid w:val="3503D8AB"/>
    <w:rsid w:val="3515FA77"/>
    <w:rsid w:val="364616E3"/>
    <w:rsid w:val="375BCD70"/>
    <w:rsid w:val="38A875B0"/>
    <w:rsid w:val="39944B1D"/>
    <w:rsid w:val="3B301B7E"/>
    <w:rsid w:val="3BC6ADB3"/>
    <w:rsid w:val="3C9D1B4B"/>
    <w:rsid w:val="3CACAD47"/>
    <w:rsid w:val="3D7BE6D3"/>
    <w:rsid w:val="3DB1E697"/>
    <w:rsid w:val="3E041378"/>
    <w:rsid w:val="3E67BC40"/>
    <w:rsid w:val="3ED259FC"/>
    <w:rsid w:val="3EDFF825"/>
    <w:rsid w:val="3F7DE348"/>
    <w:rsid w:val="414D1CB3"/>
    <w:rsid w:val="41F0D403"/>
    <w:rsid w:val="427F550F"/>
    <w:rsid w:val="432BEBDC"/>
    <w:rsid w:val="433C5DE7"/>
    <w:rsid w:val="449B0AA9"/>
    <w:rsid w:val="44A25F25"/>
    <w:rsid w:val="468E4BF1"/>
    <w:rsid w:val="472ED209"/>
    <w:rsid w:val="48CAA26A"/>
    <w:rsid w:val="4BEA2A0B"/>
    <w:rsid w:val="4C1375D6"/>
    <w:rsid w:val="4CE9A857"/>
    <w:rsid w:val="4E12775E"/>
    <w:rsid w:val="4E789C1B"/>
    <w:rsid w:val="50087594"/>
    <w:rsid w:val="50241016"/>
    <w:rsid w:val="543F396B"/>
    <w:rsid w:val="544BA7C7"/>
    <w:rsid w:val="54968B21"/>
    <w:rsid w:val="55DB09CC"/>
    <w:rsid w:val="5806BBFB"/>
    <w:rsid w:val="58138779"/>
    <w:rsid w:val="592B911A"/>
    <w:rsid w:val="5DFD1FA4"/>
    <w:rsid w:val="5FCC590F"/>
    <w:rsid w:val="602686E4"/>
    <w:rsid w:val="61C25745"/>
    <w:rsid w:val="61DBEAE7"/>
    <w:rsid w:val="69B440CD"/>
    <w:rsid w:val="6BCF0EF0"/>
    <w:rsid w:val="6D9735BE"/>
    <w:rsid w:val="6E1B67E0"/>
    <w:rsid w:val="6EF3E4E5"/>
    <w:rsid w:val="6F2FBF5E"/>
    <w:rsid w:val="72087828"/>
    <w:rsid w:val="79348F31"/>
    <w:rsid w:val="7B7C0924"/>
    <w:rsid w:val="7CA726D3"/>
    <w:rsid w:val="7CCD1B63"/>
    <w:rsid w:val="7D1A9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6AFA00"/>
  <w15:docId w15:val="{ECB2CDA6-6446-471A-83D8-79397C02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409"/>
    <w:rPr>
      <w:rFonts w:ascii="Palatino" w:hAnsi="Palati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4409"/>
    <w:rPr>
      <w:rFonts w:ascii="Times New Roman" w:hAnsi="Times New Roman"/>
      <w:sz w:val="20"/>
      <w:szCs w:val="20"/>
    </w:rPr>
  </w:style>
  <w:style w:type="character" w:styleId="FootnoteReference">
    <w:name w:val="footnote reference"/>
    <w:basedOn w:val="DefaultParagraphFont"/>
    <w:semiHidden/>
    <w:rsid w:val="00BE4409"/>
    <w:rPr>
      <w:rFonts w:cs="Times New Roman"/>
      <w:vertAlign w:val="superscript"/>
    </w:rPr>
  </w:style>
  <w:style w:type="character" w:styleId="Hyperlink">
    <w:name w:val="Hyperlink"/>
    <w:basedOn w:val="DefaultParagraphFont"/>
    <w:rsid w:val="00BE4409"/>
    <w:rPr>
      <w:color w:val="0000FF"/>
      <w:u w:val="single"/>
    </w:rPr>
  </w:style>
  <w:style w:type="table" w:styleId="TableGrid">
    <w:name w:val="Table Grid"/>
    <w:basedOn w:val="TableNormal"/>
    <w:rsid w:val="00BE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BE4409"/>
    <w:pPr>
      <w:numPr>
        <w:numId w:val="2"/>
      </w:numPr>
    </w:pPr>
    <w:rPr>
      <w:rFonts w:ascii="Times New Roman" w:hAnsi="Times New Roman"/>
    </w:rPr>
  </w:style>
  <w:style w:type="paragraph" w:styleId="Footer">
    <w:name w:val="footer"/>
    <w:basedOn w:val="Normal"/>
    <w:link w:val="FooterChar"/>
    <w:uiPriority w:val="99"/>
    <w:rsid w:val="00BE4409"/>
    <w:pPr>
      <w:tabs>
        <w:tab w:val="center" w:pos="4153"/>
        <w:tab w:val="right" w:pos="8306"/>
      </w:tabs>
    </w:pPr>
  </w:style>
  <w:style w:type="character" w:styleId="PageNumber">
    <w:name w:val="page number"/>
    <w:basedOn w:val="DefaultParagraphFont"/>
    <w:rsid w:val="00BE4409"/>
  </w:style>
  <w:style w:type="character" w:styleId="FollowedHyperlink">
    <w:name w:val="FollowedHyperlink"/>
    <w:basedOn w:val="DefaultParagraphFont"/>
    <w:rsid w:val="00DA3E62"/>
    <w:rPr>
      <w:color w:val="800080" w:themeColor="followedHyperlink"/>
      <w:u w:val="single"/>
    </w:rPr>
  </w:style>
  <w:style w:type="paragraph" w:styleId="BalloonText">
    <w:name w:val="Balloon Text"/>
    <w:basedOn w:val="Normal"/>
    <w:link w:val="BalloonTextChar"/>
    <w:rsid w:val="00115CBE"/>
    <w:rPr>
      <w:rFonts w:ascii="Segoe UI" w:hAnsi="Segoe UI" w:cs="Segoe UI"/>
      <w:sz w:val="18"/>
      <w:szCs w:val="18"/>
    </w:rPr>
  </w:style>
  <w:style w:type="character" w:customStyle="1" w:styleId="BalloonTextChar">
    <w:name w:val="Balloon Text Char"/>
    <w:basedOn w:val="DefaultParagraphFont"/>
    <w:link w:val="BalloonText"/>
    <w:rsid w:val="00115CBE"/>
    <w:rPr>
      <w:rFonts w:ascii="Segoe UI" w:hAnsi="Segoe UI" w:cs="Segoe UI"/>
      <w:sz w:val="18"/>
      <w:szCs w:val="18"/>
    </w:rPr>
  </w:style>
  <w:style w:type="character" w:styleId="CommentReference">
    <w:name w:val="annotation reference"/>
    <w:basedOn w:val="DefaultParagraphFont"/>
    <w:semiHidden/>
    <w:unhideWhenUsed/>
    <w:rsid w:val="00950E8E"/>
    <w:rPr>
      <w:sz w:val="16"/>
      <w:szCs w:val="16"/>
    </w:rPr>
  </w:style>
  <w:style w:type="paragraph" w:styleId="CommentText">
    <w:name w:val="annotation text"/>
    <w:basedOn w:val="Normal"/>
    <w:link w:val="CommentTextChar"/>
    <w:semiHidden/>
    <w:unhideWhenUsed/>
    <w:rsid w:val="00950E8E"/>
    <w:rPr>
      <w:sz w:val="20"/>
      <w:szCs w:val="20"/>
    </w:rPr>
  </w:style>
  <w:style w:type="character" w:customStyle="1" w:styleId="CommentTextChar">
    <w:name w:val="Comment Text Char"/>
    <w:basedOn w:val="DefaultParagraphFont"/>
    <w:link w:val="CommentText"/>
    <w:semiHidden/>
    <w:rsid w:val="00950E8E"/>
    <w:rPr>
      <w:rFonts w:ascii="Palatino" w:hAnsi="Palatino"/>
    </w:rPr>
  </w:style>
  <w:style w:type="paragraph" w:styleId="CommentSubject">
    <w:name w:val="annotation subject"/>
    <w:basedOn w:val="CommentText"/>
    <w:next w:val="CommentText"/>
    <w:link w:val="CommentSubjectChar"/>
    <w:semiHidden/>
    <w:unhideWhenUsed/>
    <w:rsid w:val="00950E8E"/>
    <w:rPr>
      <w:b/>
      <w:bCs/>
    </w:rPr>
  </w:style>
  <w:style w:type="character" w:customStyle="1" w:styleId="CommentSubjectChar">
    <w:name w:val="Comment Subject Char"/>
    <w:basedOn w:val="CommentTextChar"/>
    <w:link w:val="CommentSubject"/>
    <w:semiHidden/>
    <w:rsid w:val="00950E8E"/>
    <w:rPr>
      <w:rFonts w:ascii="Palatino" w:hAnsi="Palatino"/>
      <w:b/>
      <w:bCs/>
    </w:rPr>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C11F4F"/>
    <w:pPr>
      <w:widowControl w:val="0"/>
      <w:autoSpaceDE w:val="0"/>
      <w:autoSpaceDN w:val="0"/>
    </w:pPr>
    <w:rPr>
      <w:rFonts w:ascii="Calibri" w:eastAsia="Calibri" w:hAnsi="Calibri" w:cs="Calibri"/>
      <w:b/>
      <w:bCs/>
      <w:lang w:bidi="en-GB"/>
    </w:rPr>
  </w:style>
  <w:style w:type="character" w:customStyle="1" w:styleId="BodyTextChar">
    <w:name w:val="Body Text Char"/>
    <w:basedOn w:val="DefaultParagraphFont"/>
    <w:link w:val="BodyText"/>
    <w:uiPriority w:val="1"/>
    <w:rsid w:val="00C11F4F"/>
    <w:rPr>
      <w:rFonts w:ascii="Calibri" w:eastAsia="Calibri" w:hAnsi="Calibri" w:cs="Calibri"/>
      <w:b/>
      <w:bCs/>
      <w:sz w:val="24"/>
      <w:szCs w:val="24"/>
      <w:lang w:bidi="en-GB"/>
    </w:rPr>
  </w:style>
  <w:style w:type="paragraph" w:customStyle="1" w:styleId="TableParagraph">
    <w:name w:val="Table Paragraph"/>
    <w:basedOn w:val="Normal"/>
    <w:uiPriority w:val="1"/>
    <w:qFormat/>
    <w:rsid w:val="00C11F4F"/>
    <w:pPr>
      <w:widowControl w:val="0"/>
      <w:autoSpaceDE w:val="0"/>
      <w:autoSpaceDN w:val="0"/>
      <w:ind w:left="105"/>
    </w:pPr>
    <w:rPr>
      <w:rFonts w:ascii="Calibri" w:eastAsia="Calibri" w:hAnsi="Calibri" w:cs="Calibri"/>
      <w:sz w:val="22"/>
      <w:szCs w:val="22"/>
      <w:lang w:bidi="en-GB"/>
    </w:rPr>
  </w:style>
  <w:style w:type="paragraph" w:styleId="Header">
    <w:name w:val="header"/>
    <w:basedOn w:val="Normal"/>
    <w:link w:val="HeaderChar"/>
    <w:unhideWhenUsed/>
    <w:rsid w:val="00E2182B"/>
    <w:pPr>
      <w:tabs>
        <w:tab w:val="center" w:pos="4513"/>
        <w:tab w:val="right" w:pos="9026"/>
      </w:tabs>
    </w:pPr>
  </w:style>
  <w:style w:type="character" w:customStyle="1" w:styleId="HeaderChar">
    <w:name w:val="Header Char"/>
    <w:basedOn w:val="DefaultParagraphFont"/>
    <w:link w:val="Header"/>
    <w:rsid w:val="00E2182B"/>
    <w:rPr>
      <w:rFonts w:ascii="Palatino" w:hAnsi="Palatino"/>
      <w:sz w:val="24"/>
      <w:szCs w:val="24"/>
    </w:rPr>
  </w:style>
  <w:style w:type="character" w:customStyle="1" w:styleId="FooterChar">
    <w:name w:val="Footer Char"/>
    <w:basedOn w:val="DefaultParagraphFont"/>
    <w:link w:val="Footer"/>
    <w:uiPriority w:val="99"/>
    <w:rsid w:val="00E2182B"/>
    <w:rPr>
      <w:rFonts w:ascii="Palatino" w:hAnsi="Palatino"/>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A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ndee.ac.uk/disabilityservices/resources/guida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undee.ac.uk/disabilityservices/resource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52CC858E1A6649AEA8539350B9CB1E" ma:contentTypeVersion="10" ma:contentTypeDescription="Create a new document." ma:contentTypeScope="" ma:versionID="4e281c16bdfabd5911e0582f0cc6a7d1">
  <xsd:schema xmlns:xsd="http://www.w3.org/2001/XMLSchema" xmlns:xs="http://www.w3.org/2001/XMLSchema" xmlns:p="http://schemas.microsoft.com/office/2006/metadata/properties" xmlns:ns2="d0ccec49-18d9-459d-80b8-45a7c40d0f08" targetNamespace="http://schemas.microsoft.com/office/2006/metadata/properties" ma:root="true" ma:fieldsID="37cb1ab343b7983c7c46589bcc294003" ns2:_="">
    <xsd:import namespace="d0ccec49-18d9-459d-80b8-45a7c40d0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ec49-18d9-459d-80b8-45a7c40d0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AC55C-C584-4517-8871-110010F079B0}">
  <ds:schemaRefs>
    <ds:schemaRef ds:uri="http://purl.org/dc/terms/"/>
    <ds:schemaRef ds:uri="http://purl.org/dc/dcmitype/"/>
    <ds:schemaRef ds:uri="http://schemas.microsoft.com/office/2006/documentManagement/types"/>
    <ds:schemaRef ds:uri="5e3be334-dd51-434d-94c4-5fe8ce326c51"/>
    <ds:schemaRef ds:uri="http://www.w3.org/XML/1998/namespace"/>
    <ds:schemaRef ds:uri="http://schemas.microsoft.com/office/infopath/2007/PartnerControls"/>
    <ds:schemaRef ds:uri="http://purl.org/dc/elements/1.1/"/>
    <ds:schemaRef ds:uri="http://schemas.openxmlformats.org/package/2006/metadata/core-properties"/>
    <ds:schemaRef ds:uri="03e845f0-61d2-402a-a60d-d1d31acc4c9f"/>
    <ds:schemaRef ds:uri="http://schemas.microsoft.com/office/2006/metadata/properties"/>
  </ds:schemaRefs>
</ds:datastoreItem>
</file>

<file path=customXml/itemProps2.xml><?xml version="1.0" encoding="utf-8"?>
<ds:datastoreItem xmlns:ds="http://schemas.openxmlformats.org/officeDocument/2006/customXml" ds:itemID="{27158DB4-BB1B-409D-9A1A-AC1AFBEB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ec49-18d9-459d-80b8-45a7c40d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A36B6-AA56-41A2-9688-CD20182C3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UNIVERSITY OF DUNDEE</vt:lpstr>
    </vt:vector>
  </TitlesOfParts>
  <Company>University of Dundee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DUNDEE</dc:title>
  <dc:creator>EDMONAGHAN</dc:creator>
  <cp:lastModifiedBy>Debbie Smith (Staff)</cp:lastModifiedBy>
  <cp:revision>2</cp:revision>
  <cp:lastPrinted>2014-01-09T15:41:00Z</cp:lastPrinted>
  <dcterms:created xsi:type="dcterms:W3CDTF">2021-04-09T14:53:00Z</dcterms:created>
  <dcterms:modified xsi:type="dcterms:W3CDTF">2021-04-09T14:53:00Z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0x0101009752CC858E1A6649AEA8539350B9CB1E</vt:lpwstr>
  </property>
</Properties>
</file>